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77777777" w:rsidR="00C40974" w:rsidRDefault="00C40974">
      <w:pPr>
        <w:rPr>
          <w:rFonts w:ascii="Arial" w:hAnsi="Arial" w:cs="Arial"/>
          <w:b/>
        </w:rPr>
      </w:pPr>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445A050B"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1E1ECC">
              <w:rPr>
                <w:rFonts w:ascii="Arial" w:hAnsi="Arial" w:cs="Arial"/>
                <w:bCs/>
              </w:rPr>
              <w:t>Full Council</w:t>
            </w:r>
          </w:p>
        </w:tc>
        <w:tc>
          <w:tcPr>
            <w:tcW w:w="4536" w:type="dxa"/>
            <w:tcBorders>
              <w:bottom w:val="single" w:sz="4" w:space="0" w:color="auto"/>
            </w:tcBorders>
          </w:tcPr>
          <w:p w14:paraId="61D884E6" w14:textId="1E7A2956"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753284">
              <w:rPr>
                <w:rFonts w:ascii="Arial" w:hAnsi="Arial" w:cs="Arial"/>
                <w:b/>
              </w:rPr>
              <w:t>1</w:t>
            </w:r>
            <w:r w:rsidR="005D6AA8">
              <w:rPr>
                <w:rFonts w:ascii="Arial" w:hAnsi="Arial" w:cs="Arial"/>
                <w:b/>
              </w:rPr>
              <w:t>4</w:t>
            </w:r>
          </w:p>
        </w:tc>
      </w:tr>
      <w:tr w:rsidR="00E8349F" w14:paraId="47091A02" w14:textId="77777777" w:rsidTr="001E1ECC">
        <w:tc>
          <w:tcPr>
            <w:tcW w:w="4815" w:type="dxa"/>
            <w:tcBorders>
              <w:bottom w:val="single" w:sz="4" w:space="0" w:color="auto"/>
            </w:tcBorders>
          </w:tcPr>
          <w:p w14:paraId="401DF4F2" w14:textId="1A186E20"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D25B6">
              <w:rPr>
                <w:rFonts w:ascii="Arial" w:hAnsi="Arial" w:cs="Arial"/>
                <w:b/>
              </w:rPr>
              <w:t>March 11</w:t>
            </w:r>
            <w:r w:rsidR="003D25B6" w:rsidRPr="003D25B6">
              <w:rPr>
                <w:rFonts w:ascii="Arial" w:hAnsi="Arial" w:cs="Arial"/>
                <w:b/>
                <w:vertAlign w:val="superscript"/>
              </w:rPr>
              <w:t>th</w:t>
            </w:r>
            <w:r w:rsidR="003D25B6">
              <w:rPr>
                <w:rFonts w:ascii="Arial" w:hAnsi="Arial" w:cs="Arial"/>
                <w:b/>
              </w:rPr>
              <w:t xml:space="preserve"> </w:t>
            </w:r>
            <w:r w:rsidR="001E1ECC" w:rsidRPr="001E1ECC">
              <w:rPr>
                <w:rFonts w:ascii="Arial" w:hAnsi="Arial" w:cs="Arial"/>
                <w:bCs/>
              </w:rPr>
              <w:t>202</w:t>
            </w:r>
            <w:r w:rsidR="003D25B6">
              <w:rPr>
                <w:rFonts w:ascii="Arial" w:hAnsi="Arial" w:cs="Arial"/>
                <w:bCs/>
              </w:rPr>
              <w:t>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0E1551D"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8B3F22">
              <w:rPr>
                <w:rFonts w:ascii="Arial" w:hAnsi="Arial" w:cs="Arial"/>
                <w:bCs/>
              </w:rPr>
              <w:t>Town Clerk</w:t>
            </w:r>
          </w:p>
        </w:tc>
        <w:tc>
          <w:tcPr>
            <w:tcW w:w="4536" w:type="dxa"/>
            <w:tcBorders>
              <w:top w:val="single" w:sz="4" w:space="0" w:color="auto"/>
              <w:bottom w:val="single" w:sz="4" w:space="0" w:color="auto"/>
            </w:tcBorders>
          </w:tcPr>
          <w:p w14:paraId="64906631" w14:textId="79C80B34" w:rsidR="00E8349F" w:rsidRPr="00004143" w:rsidRDefault="00E8349F" w:rsidP="00E8349F">
            <w:pPr>
              <w:rPr>
                <w:rFonts w:ascii="Arial" w:hAnsi="Arial" w:cs="Arial"/>
                <w:b/>
              </w:rPr>
            </w:pPr>
            <w:r>
              <w:rPr>
                <w:rFonts w:ascii="Arial" w:hAnsi="Arial" w:cs="Arial"/>
                <w:b/>
              </w:rPr>
              <w:t>Subject:</w:t>
            </w:r>
            <w:r w:rsidR="00B1760B">
              <w:rPr>
                <w:rFonts w:ascii="Arial" w:hAnsi="Arial" w:cs="Arial"/>
                <w:b/>
              </w:rPr>
              <w:t xml:space="preserve"> </w:t>
            </w:r>
            <w:r w:rsidR="00245BFA">
              <w:rPr>
                <w:rFonts w:ascii="Arial" w:hAnsi="Arial" w:cs="Arial"/>
                <w:bCs/>
              </w:rPr>
              <w:t>TO APPROVE ADDITIONAL HOURS AND SALARY UPLIFT</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60AC1F8E" w:rsidR="00661FF5" w:rsidRPr="00D71418" w:rsidRDefault="00E8349F" w:rsidP="00E8349F">
            <w:pPr>
              <w:rPr>
                <w:rFonts w:ascii="Arial" w:hAnsi="Arial" w:cs="Arial"/>
                <w:b/>
              </w:rPr>
            </w:pPr>
            <w:r>
              <w:rPr>
                <w:rFonts w:ascii="Arial" w:hAnsi="Arial" w:cs="Arial"/>
                <w:b/>
              </w:rPr>
              <w:t>Title:</w:t>
            </w:r>
            <w:r w:rsidR="00B1760B">
              <w:rPr>
                <w:rFonts w:ascii="Arial" w:hAnsi="Arial" w:cs="Arial"/>
                <w:b/>
              </w:rPr>
              <w:t xml:space="preserve"> </w:t>
            </w:r>
            <w:r w:rsidR="00245BFA">
              <w:rPr>
                <w:rFonts w:ascii="Arial" w:hAnsi="Arial" w:cs="Arial"/>
                <w:b/>
              </w:rPr>
              <w:t>STAFFING ARRANGEMENTS</w:t>
            </w:r>
          </w:p>
        </w:tc>
      </w:tr>
      <w:tr w:rsidR="0099369F" w14:paraId="1392BBB9" w14:textId="77777777" w:rsidTr="009834B8">
        <w:tc>
          <w:tcPr>
            <w:tcW w:w="9351" w:type="dxa"/>
            <w:gridSpan w:val="2"/>
            <w:tcBorders>
              <w:top w:val="single" w:sz="4" w:space="0" w:color="auto"/>
              <w:bottom w:val="single" w:sz="4" w:space="0" w:color="auto"/>
            </w:tcBorders>
          </w:tcPr>
          <w:p w14:paraId="5A65FD39" w14:textId="77777777" w:rsidR="00CB2EDA" w:rsidRDefault="00924A6A" w:rsidP="00CB2EDA">
            <w:r>
              <w:t>To seek Full Council approval for temporary adjustments to the Administration Assistant’s contracted hours and hourly rate while they provide cover for the Deputy Clerk during their absence.</w:t>
            </w:r>
          </w:p>
          <w:p w14:paraId="3001760A" w14:textId="09393975" w:rsidR="00331591" w:rsidRPr="00331591" w:rsidRDefault="00331591" w:rsidP="00331591">
            <w:pPr>
              <w:spacing w:before="100" w:beforeAutospacing="1" w:after="100" w:afterAutospacing="1"/>
              <w:rPr>
                <w:rFonts w:eastAsia="Times New Roman"/>
                <w:lang w:val="en-GB" w:eastAsia="en-GB"/>
              </w:rPr>
            </w:pPr>
            <w:r w:rsidRPr="00331591">
              <w:rPr>
                <w:rFonts w:eastAsia="Times New Roman"/>
                <w:lang w:val="en-GB" w:eastAsia="en-GB"/>
              </w:rPr>
              <w:t>The Administration Assistant has been undertaking a significantly increased workload, absorbing key responsibilities normally carried out by the Deputy Clerk</w:t>
            </w:r>
            <w:r>
              <w:rPr>
                <w:rFonts w:eastAsia="Times New Roman"/>
                <w:lang w:val="en-GB" w:eastAsia="en-GB"/>
              </w:rPr>
              <w:t>.</w:t>
            </w:r>
            <w:r w:rsidRPr="00331591">
              <w:rPr>
                <w:rFonts w:eastAsia="Times New Roman"/>
                <w:lang w:val="en-GB" w:eastAsia="en-GB"/>
              </w:rPr>
              <w:t xml:space="preserve"> This has ensured continuity of service, statutory compliance, and the smooth running of Council operations.</w:t>
            </w:r>
          </w:p>
          <w:p w14:paraId="431A3C1E" w14:textId="77777777" w:rsidR="00331591" w:rsidRPr="00331591" w:rsidRDefault="00331591" w:rsidP="00331591">
            <w:pPr>
              <w:spacing w:before="100" w:beforeAutospacing="1" w:after="100" w:afterAutospacing="1"/>
              <w:rPr>
                <w:rFonts w:eastAsia="Times New Roman"/>
                <w:lang w:val="en-GB" w:eastAsia="en-GB"/>
              </w:rPr>
            </w:pPr>
            <w:r w:rsidRPr="00331591">
              <w:rPr>
                <w:rFonts w:eastAsia="Times New Roman"/>
                <w:lang w:val="en-GB" w:eastAsia="en-GB"/>
              </w:rPr>
              <w:t>In addition to maintaining their own duties, the Administration Assistant has proactively improved internal processes, including drafting and updating process protocols and enhancing the Council’s use of digital tools such as Microsoft Teams.</w:t>
            </w:r>
          </w:p>
          <w:p w14:paraId="6081269C" w14:textId="0065362C" w:rsidR="00331591" w:rsidRDefault="00331591" w:rsidP="00331591">
            <w:pPr>
              <w:spacing w:before="100" w:beforeAutospacing="1" w:after="100" w:afterAutospacing="1"/>
              <w:rPr>
                <w:rFonts w:eastAsia="Times New Roman"/>
                <w:lang w:val="en-GB" w:eastAsia="en-GB"/>
              </w:rPr>
            </w:pPr>
            <w:r w:rsidRPr="00331591">
              <w:rPr>
                <w:rFonts w:eastAsia="Times New Roman"/>
                <w:lang w:val="en-GB" w:eastAsia="en-GB"/>
              </w:rPr>
              <w:t>To manage these responsibilities effectively, the Administration Assistant requests a</w:t>
            </w:r>
            <w:r w:rsidR="00FC74F9">
              <w:rPr>
                <w:rFonts w:eastAsia="Times New Roman"/>
                <w:lang w:val="en-GB" w:eastAsia="en-GB"/>
              </w:rPr>
              <w:t>n</w:t>
            </w:r>
            <w:r w:rsidRPr="00331591">
              <w:rPr>
                <w:rFonts w:eastAsia="Times New Roman"/>
                <w:lang w:val="en-GB" w:eastAsia="en-GB"/>
              </w:rPr>
              <w:t xml:space="preserve"> increase in contracted hours and hourly rate.</w:t>
            </w:r>
          </w:p>
          <w:p w14:paraId="58B9F6FF" w14:textId="77777777" w:rsidR="00FA7FC7" w:rsidRPr="00FA7FC7" w:rsidRDefault="00FA7FC7" w:rsidP="00FA7FC7">
            <w:pPr>
              <w:spacing w:before="100" w:beforeAutospacing="1" w:after="100" w:afterAutospacing="1"/>
              <w:outlineLvl w:val="1"/>
              <w:rPr>
                <w:rFonts w:eastAsia="Times New Roman"/>
                <w:b/>
                <w:bCs/>
                <w:sz w:val="36"/>
                <w:szCs w:val="36"/>
                <w:lang w:val="en-GB" w:eastAsia="en-GB"/>
              </w:rPr>
            </w:pPr>
            <w:r w:rsidRPr="00FA7FC7">
              <w:rPr>
                <w:rFonts w:eastAsia="Times New Roman"/>
                <w:b/>
                <w:bCs/>
                <w:sz w:val="36"/>
                <w:szCs w:val="36"/>
                <w:lang w:val="en-GB" w:eastAsia="en-GB"/>
              </w:rPr>
              <w:t>Proposal</w:t>
            </w:r>
          </w:p>
          <w:p w14:paraId="714567B1" w14:textId="77777777" w:rsidR="00FA7FC7" w:rsidRPr="00FA7FC7" w:rsidRDefault="00FA7FC7" w:rsidP="00FA7FC7">
            <w:pPr>
              <w:spacing w:before="100" w:beforeAutospacing="1" w:after="100" w:afterAutospacing="1"/>
              <w:rPr>
                <w:rFonts w:eastAsia="Times New Roman"/>
                <w:lang w:val="en-GB" w:eastAsia="en-GB"/>
              </w:rPr>
            </w:pPr>
            <w:r w:rsidRPr="00FA7FC7">
              <w:rPr>
                <w:rFonts w:eastAsia="Times New Roman"/>
                <w:lang w:val="en-GB" w:eastAsia="en-GB"/>
              </w:rPr>
              <w:t>That Full Council considers and approves the following temporary adjustments for the duration of the Deputy Clerk’s absence:</w:t>
            </w:r>
          </w:p>
          <w:p w14:paraId="0EA7EBBD" w14:textId="77777777" w:rsidR="00FA7FC7" w:rsidRPr="00FA7FC7" w:rsidRDefault="00FA7FC7" w:rsidP="00A6243B">
            <w:pPr>
              <w:spacing w:before="100" w:beforeAutospacing="1" w:after="100" w:afterAutospacing="1"/>
              <w:ind w:left="720"/>
              <w:rPr>
                <w:rFonts w:eastAsia="Times New Roman"/>
                <w:lang w:val="en-GB" w:eastAsia="en-GB"/>
              </w:rPr>
            </w:pPr>
            <w:r w:rsidRPr="00FA7FC7">
              <w:rPr>
                <w:rFonts w:eastAsia="Times New Roman"/>
                <w:b/>
                <w:bCs/>
                <w:lang w:val="en-GB" w:eastAsia="en-GB"/>
              </w:rPr>
              <w:t>Increase in contracted hours</w:t>
            </w:r>
            <w:r w:rsidRPr="00FA7FC7">
              <w:rPr>
                <w:rFonts w:eastAsia="Times New Roman"/>
                <w:lang w:val="en-GB" w:eastAsia="en-GB"/>
              </w:rPr>
              <w:t xml:space="preserve"> to </w:t>
            </w:r>
            <w:r w:rsidRPr="00FA7FC7">
              <w:rPr>
                <w:rFonts w:eastAsia="Times New Roman"/>
                <w:b/>
                <w:bCs/>
                <w:lang w:val="en-GB" w:eastAsia="en-GB"/>
              </w:rPr>
              <w:t>37 hours per week</w:t>
            </w:r>
            <w:r w:rsidRPr="00FA7FC7">
              <w:rPr>
                <w:rFonts w:eastAsia="Times New Roman"/>
                <w:lang w:val="en-GB" w:eastAsia="en-GB"/>
              </w:rPr>
              <w:t>.</w:t>
            </w:r>
          </w:p>
          <w:p w14:paraId="1C33B8F9" w14:textId="77777777" w:rsidR="004E1DDA" w:rsidRDefault="00A6243B" w:rsidP="004E1DDA">
            <w:pPr>
              <w:spacing w:before="100" w:beforeAutospacing="1" w:after="100" w:afterAutospacing="1"/>
              <w:ind w:left="720"/>
              <w:rPr>
                <w:rFonts w:eastAsia="Times New Roman"/>
                <w:lang w:val="en-GB" w:eastAsia="en-GB"/>
              </w:rPr>
            </w:pPr>
            <w:r>
              <w:rPr>
                <w:rFonts w:eastAsia="Times New Roman"/>
                <w:b/>
                <w:bCs/>
                <w:lang w:val="en-GB" w:eastAsia="en-GB"/>
              </w:rPr>
              <w:t>I</w:t>
            </w:r>
            <w:r w:rsidR="00FA7FC7" w:rsidRPr="00FA7FC7">
              <w:rPr>
                <w:rFonts w:eastAsia="Times New Roman"/>
                <w:b/>
                <w:bCs/>
                <w:lang w:val="en-GB" w:eastAsia="en-GB"/>
              </w:rPr>
              <w:t>ncrease in hourly rate</w:t>
            </w:r>
            <w:r w:rsidR="00FA7FC7" w:rsidRPr="00FA7FC7">
              <w:rPr>
                <w:rFonts w:eastAsia="Times New Roman"/>
                <w:lang w:val="en-GB" w:eastAsia="en-GB"/>
              </w:rPr>
              <w:t xml:space="preserve"> to </w:t>
            </w:r>
            <w:r w:rsidR="00FA7FC7" w:rsidRPr="00FA7FC7">
              <w:rPr>
                <w:rFonts w:eastAsia="Times New Roman"/>
                <w:b/>
                <w:bCs/>
                <w:lang w:val="en-GB" w:eastAsia="en-GB"/>
              </w:rPr>
              <w:t>£17.95</w:t>
            </w:r>
            <w:r w:rsidR="00FA7FC7" w:rsidRPr="00FA7FC7">
              <w:rPr>
                <w:rFonts w:eastAsia="Times New Roman"/>
                <w:lang w:val="en-GB" w:eastAsia="en-GB"/>
              </w:rPr>
              <w:t>, reflecting the higher level of responsibility and decision</w:t>
            </w:r>
            <w:r w:rsidR="00FA7FC7" w:rsidRPr="00FA7FC7">
              <w:rPr>
                <w:rFonts w:eastAsia="Times New Roman"/>
                <w:lang w:val="en-GB" w:eastAsia="en-GB"/>
              </w:rPr>
              <w:noBreakHyphen/>
              <w:t>making required.</w:t>
            </w:r>
          </w:p>
          <w:p w14:paraId="5E144E51" w14:textId="074BE9A6" w:rsidR="00FA7FC7" w:rsidRPr="00FA7FC7" w:rsidRDefault="00FA7FC7" w:rsidP="004E1DDA">
            <w:pPr>
              <w:spacing w:before="100" w:beforeAutospacing="1" w:after="100" w:afterAutospacing="1"/>
              <w:rPr>
                <w:rFonts w:eastAsia="Times New Roman"/>
                <w:lang w:val="en-GB" w:eastAsia="en-GB"/>
              </w:rPr>
            </w:pPr>
            <w:r w:rsidRPr="00FA7FC7">
              <w:rPr>
                <w:rFonts w:eastAsia="Times New Roman"/>
                <w:b/>
                <w:bCs/>
                <w:sz w:val="36"/>
                <w:szCs w:val="36"/>
                <w:lang w:val="en-GB" w:eastAsia="en-GB"/>
              </w:rPr>
              <w:t>Rationale</w:t>
            </w:r>
          </w:p>
          <w:p w14:paraId="4C0D6F4A" w14:textId="77777777" w:rsidR="00FA7FC7" w:rsidRPr="00FA7FC7" w:rsidRDefault="00FA7FC7" w:rsidP="00FA7FC7">
            <w:pPr>
              <w:numPr>
                <w:ilvl w:val="0"/>
                <w:numId w:val="3"/>
              </w:numPr>
              <w:spacing w:before="100" w:beforeAutospacing="1" w:after="100" w:afterAutospacing="1"/>
              <w:rPr>
                <w:rFonts w:eastAsia="Times New Roman"/>
                <w:lang w:val="en-GB" w:eastAsia="en-GB"/>
              </w:rPr>
            </w:pPr>
            <w:r w:rsidRPr="00FA7FC7">
              <w:rPr>
                <w:rFonts w:eastAsia="Times New Roman"/>
                <w:lang w:val="en-GB" w:eastAsia="en-GB"/>
              </w:rPr>
              <w:t>The Administration Assistant’s workload has increased substantially and cannot be sustained within current contracted hours.</w:t>
            </w:r>
          </w:p>
          <w:p w14:paraId="3A733902" w14:textId="77777777" w:rsidR="00FA7FC7" w:rsidRPr="00FA7FC7" w:rsidRDefault="00FA7FC7" w:rsidP="00FA7FC7">
            <w:pPr>
              <w:numPr>
                <w:ilvl w:val="0"/>
                <w:numId w:val="3"/>
              </w:numPr>
              <w:spacing w:before="100" w:beforeAutospacing="1" w:after="100" w:afterAutospacing="1"/>
              <w:rPr>
                <w:rFonts w:eastAsia="Times New Roman"/>
                <w:lang w:val="en-GB" w:eastAsia="en-GB"/>
              </w:rPr>
            </w:pPr>
            <w:r w:rsidRPr="00FA7FC7">
              <w:rPr>
                <w:rFonts w:eastAsia="Times New Roman"/>
                <w:lang w:val="en-GB" w:eastAsia="en-GB"/>
              </w:rPr>
              <w:t>They are undertaking duties at a higher responsibility level, warranting temporary pay recognition.</w:t>
            </w:r>
          </w:p>
          <w:p w14:paraId="715ED45F" w14:textId="77777777" w:rsidR="00FA7FC7" w:rsidRPr="00FA7FC7" w:rsidRDefault="00FA7FC7" w:rsidP="00FA7FC7">
            <w:pPr>
              <w:numPr>
                <w:ilvl w:val="0"/>
                <w:numId w:val="3"/>
              </w:numPr>
              <w:spacing w:before="100" w:beforeAutospacing="1" w:after="100" w:afterAutospacing="1"/>
              <w:rPr>
                <w:rFonts w:eastAsia="Times New Roman"/>
                <w:lang w:val="en-GB" w:eastAsia="en-GB"/>
              </w:rPr>
            </w:pPr>
            <w:r w:rsidRPr="00FA7FC7">
              <w:rPr>
                <w:rFonts w:eastAsia="Times New Roman"/>
                <w:lang w:val="en-GB" w:eastAsia="en-GB"/>
              </w:rPr>
              <w:t>Operational continuity, statutory compliance, and public service delivery depend on adequate staffing capacity.</w:t>
            </w:r>
          </w:p>
          <w:p w14:paraId="5E0627C3" w14:textId="77777777" w:rsidR="00FA7FC7" w:rsidRPr="00FA7FC7" w:rsidRDefault="00FA7FC7" w:rsidP="00FA7FC7">
            <w:pPr>
              <w:numPr>
                <w:ilvl w:val="0"/>
                <w:numId w:val="3"/>
              </w:numPr>
              <w:spacing w:before="100" w:beforeAutospacing="1" w:after="100" w:afterAutospacing="1"/>
              <w:rPr>
                <w:rFonts w:eastAsia="Times New Roman"/>
                <w:lang w:val="en-GB" w:eastAsia="en-GB"/>
              </w:rPr>
            </w:pPr>
            <w:r w:rsidRPr="00FA7FC7">
              <w:rPr>
                <w:rFonts w:eastAsia="Times New Roman"/>
                <w:lang w:val="en-GB" w:eastAsia="en-GB"/>
              </w:rPr>
              <w:t>The Administration Assistant is contributing to long</w:t>
            </w:r>
            <w:r w:rsidRPr="00FA7FC7">
              <w:rPr>
                <w:rFonts w:eastAsia="Times New Roman"/>
                <w:lang w:val="en-GB" w:eastAsia="en-GB"/>
              </w:rPr>
              <w:noBreakHyphen/>
              <w:t>term organisational improvements through updated protocols and improved communication tools.</w:t>
            </w:r>
          </w:p>
          <w:p w14:paraId="2D30495F" w14:textId="77777777" w:rsidR="00FA7FC7" w:rsidRPr="00FA7FC7" w:rsidRDefault="00FA7FC7" w:rsidP="00FA7FC7">
            <w:pPr>
              <w:numPr>
                <w:ilvl w:val="0"/>
                <w:numId w:val="3"/>
              </w:numPr>
              <w:spacing w:before="100" w:beforeAutospacing="1" w:after="100" w:afterAutospacing="1"/>
              <w:rPr>
                <w:rFonts w:eastAsia="Times New Roman"/>
                <w:lang w:val="en-GB" w:eastAsia="en-GB"/>
              </w:rPr>
            </w:pPr>
            <w:r w:rsidRPr="00FA7FC7">
              <w:rPr>
                <w:rFonts w:eastAsia="Times New Roman"/>
                <w:lang w:val="en-GB" w:eastAsia="en-GB"/>
              </w:rPr>
              <w:t>The adjustments reflect fairness and acknowledge their commitment and professionalism during this period.</w:t>
            </w:r>
          </w:p>
          <w:p w14:paraId="307B79B6" w14:textId="14059461" w:rsidR="00FA7FC7" w:rsidRPr="00FA7FC7" w:rsidRDefault="00FA7FC7" w:rsidP="00FA7FC7">
            <w:pPr>
              <w:spacing w:before="100" w:beforeAutospacing="1" w:after="100" w:afterAutospacing="1"/>
              <w:outlineLvl w:val="1"/>
              <w:rPr>
                <w:rFonts w:eastAsia="Times New Roman"/>
                <w:b/>
                <w:bCs/>
                <w:sz w:val="36"/>
                <w:szCs w:val="36"/>
                <w:lang w:val="en-GB" w:eastAsia="en-GB"/>
              </w:rPr>
            </w:pPr>
            <w:r w:rsidRPr="00FA7FC7">
              <w:rPr>
                <w:rFonts w:eastAsia="Times New Roman"/>
                <w:b/>
                <w:bCs/>
                <w:sz w:val="36"/>
                <w:szCs w:val="36"/>
                <w:lang w:val="en-GB" w:eastAsia="en-GB"/>
              </w:rPr>
              <w:t>Financial Implications</w:t>
            </w:r>
          </w:p>
          <w:p w14:paraId="5120FCFD" w14:textId="77777777" w:rsidR="004E1DDA" w:rsidRDefault="00FA7FC7" w:rsidP="004E1DDA">
            <w:pPr>
              <w:spacing w:before="100" w:beforeAutospacing="1" w:after="100" w:afterAutospacing="1"/>
              <w:rPr>
                <w:rFonts w:eastAsia="Times New Roman"/>
                <w:lang w:val="en-GB" w:eastAsia="en-GB"/>
              </w:rPr>
            </w:pPr>
            <w:r w:rsidRPr="00FA7FC7">
              <w:rPr>
                <w:rFonts w:eastAsia="Times New Roman"/>
                <w:lang w:val="en-GB" w:eastAsia="en-GB"/>
              </w:rPr>
              <w:lastRenderedPageBreak/>
              <w:t>The financial impact will depend on the duration of the Deputy Clerk’s absence. Costs can be met from existing staffing budgets and/or earmarked reserves.</w:t>
            </w:r>
          </w:p>
          <w:p w14:paraId="69393FA1" w14:textId="79964AF3" w:rsidR="00FA7FC7" w:rsidRPr="00FA7FC7" w:rsidRDefault="00FA7FC7" w:rsidP="004E1DDA">
            <w:pPr>
              <w:spacing w:before="100" w:beforeAutospacing="1" w:after="100" w:afterAutospacing="1"/>
              <w:rPr>
                <w:rFonts w:eastAsia="Times New Roman"/>
                <w:lang w:val="en-GB" w:eastAsia="en-GB"/>
              </w:rPr>
            </w:pPr>
            <w:r w:rsidRPr="00FA7FC7">
              <w:rPr>
                <w:rFonts w:eastAsia="Times New Roman"/>
                <w:b/>
                <w:bCs/>
                <w:sz w:val="36"/>
                <w:szCs w:val="36"/>
                <w:lang w:val="en-GB" w:eastAsia="en-GB"/>
              </w:rPr>
              <w:t>Recommendation</w:t>
            </w:r>
          </w:p>
          <w:p w14:paraId="544AE951" w14:textId="77777777" w:rsidR="00FA7FC7" w:rsidRPr="00FA7FC7" w:rsidRDefault="00FA7FC7" w:rsidP="00FA7FC7">
            <w:pPr>
              <w:spacing w:before="100" w:beforeAutospacing="1" w:after="100" w:afterAutospacing="1"/>
              <w:rPr>
                <w:rFonts w:eastAsia="Times New Roman"/>
                <w:lang w:val="en-GB" w:eastAsia="en-GB"/>
              </w:rPr>
            </w:pPr>
            <w:r w:rsidRPr="00FA7FC7">
              <w:rPr>
                <w:rFonts w:eastAsia="Times New Roman"/>
                <w:lang w:val="en-GB" w:eastAsia="en-GB"/>
              </w:rPr>
              <w:t>That Full Council:</w:t>
            </w:r>
          </w:p>
          <w:p w14:paraId="58E59C7E" w14:textId="152B04B5" w:rsidR="00FA7FC7" w:rsidRPr="00FA7FC7" w:rsidRDefault="00FA7FC7" w:rsidP="00FA7FC7">
            <w:pPr>
              <w:numPr>
                <w:ilvl w:val="0"/>
                <w:numId w:val="4"/>
              </w:numPr>
              <w:spacing w:before="100" w:beforeAutospacing="1" w:after="100" w:afterAutospacing="1"/>
              <w:rPr>
                <w:rFonts w:eastAsia="Times New Roman"/>
                <w:lang w:val="en-GB" w:eastAsia="en-GB"/>
              </w:rPr>
            </w:pPr>
            <w:r w:rsidRPr="00FA7FC7">
              <w:rPr>
                <w:rFonts w:eastAsia="Times New Roman"/>
                <w:b/>
                <w:bCs/>
                <w:lang w:val="en-GB" w:eastAsia="en-GB"/>
              </w:rPr>
              <w:t>Approves</w:t>
            </w:r>
            <w:r w:rsidRPr="00FA7FC7">
              <w:rPr>
                <w:rFonts w:eastAsia="Times New Roman"/>
                <w:lang w:val="en-GB" w:eastAsia="en-GB"/>
              </w:rPr>
              <w:t xml:space="preserve"> a</w:t>
            </w:r>
            <w:r w:rsidR="004E1DDA">
              <w:rPr>
                <w:rFonts w:eastAsia="Times New Roman"/>
                <w:lang w:val="en-GB" w:eastAsia="en-GB"/>
              </w:rPr>
              <w:t xml:space="preserve">n </w:t>
            </w:r>
            <w:r w:rsidRPr="00FA7FC7">
              <w:rPr>
                <w:rFonts w:eastAsia="Times New Roman"/>
                <w:lang w:val="en-GB" w:eastAsia="en-GB"/>
              </w:rPr>
              <w:t>increase in the Administration Assistant’s contracted hours to 37 hours per week.</w:t>
            </w:r>
          </w:p>
          <w:p w14:paraId="7BB18654" w14:textId="1A0ABBB2" w:rsidR="00FA7FC7" w:rsidRPr="00FA7FC7" w:rsidRDefault="00FA7FC7" w:rsidP="00FA7FC7">
            <w:pPr>
              <w:numPr>
                <w:ilvl w:val="0"/>
                <w:numId w:val="4"/>
              </w:numPr>
              <w:spacing w:before="100" w:beforeAutospacing="1" w:after="100" w:afterAutospacing="1"/>
              <w:rPr>
                <w:rFonts w:eastAsia="Times New Roman"/>
                <w:lang w:val="en-GB" w:eastAsia="en-GB"/>
              </w:rPr>
            </w:pPr>
            <w:r w:rsidRPr="00FA7FC7">
              <w:rPr>
                <w:rFonts w:eastAsia="Times New Roman"/>
                <w:b/>
                <w:bCs/>
                <w:lang w:val="en-GB" w:eastAsia="en-GB"/>
              </w:rPr>
              <w:t>Approves</w:t>
            </w:r>
            <w:r w:rsidRPr="00FA7FC7">
              <w:rPr>
                <w:rFonts w:eastAsia="Times New Roman"/>
                <w:lang w:val="en-GB" w:eastAsia="en-GB"/>
              </w:rPr>
              <w:t xml:space="preserve"> a</w:t>
            </w:r>
            <w:r w:rsidR="000472C3">
              <w:rPr>
                <w:rFonts w:eastAsia="Times New Roman"/>
                <w:lang w:val="en-GB" w:eastAsia="en-GB"/>
              </w:rPr>
              <w:t>n</w:t>
            </w:r>
            <w:r w:rsidRPr="00FA7FC7">
              <w:rPr>
                <w:rFonts w:eastAsia="Times New Roman"/>
                <w:lang w:val="en-GB" w:eastAsia="en-GB"/>
              </w:rPr>
              <w:t xml:space="preserve"> increase in the Administration Assistant’s hourly rate to £17.95.</w:t>
            </w:r>
          </w:p>
          <w:p w14:paraId="647B4EAE" w14:textId="77777777" w:rsidR="00FA7FC7" w:rsidRDefault="00FA7FC7" w:rsidP="00FA7FC7">
            <w:pPr>
              <w:numPr>
                <w:ilvl w:val="0"/>
                <w:numId w:val="4"/>
              </w:numPr>
              <w:spacing w:before="100" w:beforeAutospacing="1" w:after="100" w:afterAutospacing="1"/>
              <w:rPr>
                <w:rFonts w:eastAsia="Times New Roman"/>
                <w:lang w:val="en-GB" w:eastAsia="en-GB"/>
              </w:rPr>
            </w:pPr>
            <w:r w:rsidRPr="00FA7FC7">
              <w:rPr>
                <w:rFonts w:eastAsia="Times New Roman"/>
                <w:b/>
                <w:bCs/>
                <w:lang w:val="en-GB" w:eastAsia="en-GB"/>
              </w:rPr>
              <w:t>Notes</w:t>
            </w:r>
            <w:r w:rsidRPr="00FA7FC7">
              <w:rPr>
                <w:rFonts w:eastAsia="Times New Roman"/>
                <w:lang w:val="en-GB" w:eastAsia="en-GB"/>
              </w:rPr>
              <w:t xml:space="preserve"> the Administration Assistant’s contribution to maintaining operational continuity and improving internal processes.</w:t>
            </w:r>
          </w:p>
          <w:p w14:paraId="7192B66C" w14:textId="3A4411B1" w:rsidR="00363883" w:rsidRPr="00FA7FC7" w:rsidRDefault="00363883" w:rsidP="00FA7FC7">
            <w:pPr>
              <w:numPr>
                <w:ilvl w:val="0"/>
                <w:numId w:val="4"/>
              </w:numPr>
              <w:spacing w:before="100" w:beforeAutospacing="1" w:after="100" w:afterAutospacing="1"/>
              <w:rPr>
                <w:rFonts w:eastAsia="Times New Roman"/>
                <w:lang w:val="en-GB" w:eastAsia="en-GB"/>
              </w:rPr>
            </w:pPr>
            <w:r>
              <w:rPr>
                <w:rFonts w:eastAsia="Times New Roman"/>
                <w:b/>
                <w:bCs/>
                <w:lang w:val="en-GB" w:eastAsia="en-GB"/>
              </w:rPr>
              <w:t xml:space="preserve">This </w:t>
            </w:r>
            <w:r w:rsidR="00115D90">
              <w:rPr>
                <w:rFonts w:eastAsia="Times New Roman"/>
                <w:b/>
                <w:bCs/>
                <w:lang w:val="en-GB" w:eastAsia="en-GB"/>
              </w:rPr>
              <w:t>will expire March 31</w:t>
            </w:r>
            <w:r w:rsidR="00115D90" w:rsidRPr="00115D90">
              <w:rPr>
                <w:rFonts w:eastAsia="Times New Roman"/>
                <w:b/>
                <w:bCs/>
                <w:vertAlign w:val="superscript"/>
                <w:lang w:val="en-GB" w:eastAsia="en-GB"/>
              </w:rPr>
              <w:t>st</w:t>
            </w:r>
            <w:r w:rsidR="00115D90">
              <w:rPr>
                <w:rFonts w:eastAsia="Times New Roman"/>
                <w:b/>
                <w:bCs/>
                <w:lang w:val="en-GB" w:eastAsia="en-GB"/>
              </w:rPr>
              <w:t>, 2026.</w:t>
            </w:r>
            <w:r w:rsidR="00645677">
              <w:rPr>
                <w:rFonts w:eastAsia="Times New Roman"/>
                <w:b/>
                <w:bCs/>
                <w:lang w:val="en-GB" w:eastAsia="en-GB"/>
              </w:rPr>
              <w:t xml:space="preserve"> A new contract to be arranged and proposed at the next Extraordinary Council Meeting.</w:t>
            </w:r>
          </w:p>
          <w:p w14:paraId="6FE0FA94" w14:textId="77777777" w:rsidR="00FA7FC7" w:rsidRPr="00331591" w:rsidRDefault="00FA7FC7" w:rsidP="00331591">
            <w:pPr>
              <w:spacing w:before="100" w:beforeAutospacing="1" w:after="100" w:afterAutospacing="1"/>
              <w:rPr>
                <w:rFonts w:eastAsia="Times New Roman"/>
                <w:lang w:val="en-GB" w:eastAsia="en-GB"/>
              </w:rPr>
            </w:pPr>
          </w:p>
          <w:p w14:paraId="14120D3E" w14:textId="43DF6F0D" w:rsidR="00331591" w:rsidRPr="00C0548A" w:rsidRDefault="00331591" w:rsidP="00CB2EDA"/>
        </w:tc>
      </w:tr>
    </w:tbl>
    <w:p w14:paraId="10E4D02C" w14:textId="77777777" w:rsidR="00F35B44" w:rsidRDefault="00F35B44">
      <w:pPr>
        <w:rPr>
          <w:rFonts w:asciiTheme="majorHAnsi" w:hAnsiTheme="majorHAnsi" w:cstheme="majorHAnsi"/>
          <w:bCs/>
        </w:rPr>
      </w:pPr>
    </w:p>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267"/>
        <w:gridCol w:w="1416"/>
        <w:gridCol w:w="2108"/>
        <w:gridCol w:w="644"/>
        <w:gridCol w:w="2148"/>
        <w:gridCol w:w="767"/>
      </w:tblGrid>
      <w:tr w:rsidR="006C68F5" w:rsidRPr="00F35B44" w14:paraId="3EEFB021" w14:textId="3F5F1D5C" w:rsidTr="00B20E57">
        <w:tc>
          <w:tcPr>
            <w:tcW w:w="2405" w:type="dxa"/>
          </w:tcPr>
          <w:p w14:paraId="3704DFA3" w14:textId="781FFF1C" w:rsidR="006C68F5" w:rsidRPr="003D5C24" w:rsidRDefault="006C68F5" w:rsidP="006C68F5">
            <w:pPr>
              <w:rPr>
                <w:rFonts w:asciiTheme="majorHAnsi" w:hAnsiTheme="majorHAnsi" w:cstheme="majorHAnsi"/>
                <w:bCs/>
                <w:i/>
                <w:iCs/>
              </w:rPr>
            </w:pPr>
            <w:r w:rsidRPr="003D5C24">
              <w:rPr>
                <w:rFonts w:asciiTheme="majorHAnsi" w:hAnsiTheme="majorHAnsi" w:cstheme="majorHAnsi"/>
                <w:bCs/>
                <w:i/>
                <w:iCs/>
              </w:rPr>
              <w:t>Budget Head</w:t>
            </w:r>
            <w:r>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vAlign w:val="center"/>
          </w:tcPr>
          <w:p w14:paraId="3EF62F7C" w14:textId="73017AC9" w:rsidR="006C68F5" w:rsidRPr="00F35B44" w:rsidRDefault="00A1564D" w:rsidP="006C68F5">
            <w:pPr>
              <w:rPr>
                <w:rFonts w:asciiTheme="majorHAnsi" w:hAnsiTheme="majorHAnsi" w:cstheme="majorHAnsi"/>
                <w:bCs/>
                <w:sz w:val="20"/>
                <w:szCs w:val="20"/>
              </w:rPr>
            </w:pPr>
            <w:r>
              <w:rPr>
                <w:rFonts w:ascii="Aptos Narrow" w:hAnsi="Aptos Narrow"/>
                <w:color w:val="000000"/>
                <w:sz w:val="22"/>
                <w:szCs w:val="22"/>
                <w:lang w:eastAsia="en-GB"/>
              </w:rPr>
              <w:t>General Reserves</w:t>
            </w:r>
          </w:p>
        </w:tc>
      </w:tr>
      <w:tr w:rsidR="006C68F5" w:rsidRPr="00F35B44" w14:paraId="1C973455" w14:textId="05887274" w:rsidTr="002F4A29">
        <w:tc>
          <w:tcPr>
            <w:tcW w:w="2405" w:type="dxa"/>
          </w:tcPr>
          <w:p w14:paraId="0C44C619" w14:textId="4E305F7F" w:rsidR="006C68F5" w:rsidRPr="00F35B44" w:rsidRDefault="006C68F5" w:rsidP="006C68F5">
            <w:pPr>
              <w:rPr>
                <w:rFonts w:asciiTheme="majorHAnsi" w:hAnsiTheme="majorHAnsi" w:cstheme="majorHAnsi"/>
                <w:bCs/>
                <w:i/>
                <w:iCs/>
              </w:rPr>
            </w:pPr>
            <w:r>
              <w:rPr>
                <w:rFonts w:asciiTheme="majorHAnsi" w:hAnsiTheme="majorHAnsi" w:cstheme="majorHAnsi"/>
                <w:bCs/>
                <w:i/>
                <w:iCs/>
              </w:rPr>
              <w:t>Proposed Expenditure</w:t>
            </w:r>
          </w:p>
        </w:tc>
        <w:tc>
          <w:tcPr>
            <w:tcW w:w="851" w:type="dxa"/>
          </w:tcPr>
          <w:p w14:paraId="457053F8" w14:textId="4D12C4F3" w:rsidR="006C68F5" w:rsidRPr="00F35B44" w:rsidRDefault="004520D1" w:rsidP="006C68F5">
            <w:pPr>
              <w:rPr>
                <w:rFonts w:asciiTheme="majorHAnsi" w:hAnsiTheme="majorHAnsi" w:cstheme="majorHAnsi"/>
                <w:bCs/>
                <w:i/>
                <w:iCs/>
              </w:rPr>
            </w:pPr>
            <w:r>
              <w:rPr>
                <w:rFonts w:asciiTheme="majorHAnsi" w:hAnsiTheme="majorHAnsi" w:cstheme="majorHAnsi"/>
                <w:bCs/>
                <w:i/>
                <w:iCs/>
              </w:rPr>
              <w:t>£700</w:t>
            </w:r>
          </w:p>
        </w:tc>
        <w:tc>
          <w:tcPr>
            <w:tcW w:w="2268" w:type="dxa"/>
          </w:tcPr>
          <w:p w14:paraId="0152355A" w14:textId="507BD9B6" w:rsidR="006C68F5" w:rsidRPr="00F35B44" w:rsidRDefault="006C68F5" w:rsidP="006C68F5">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6C68F5" w:rsidRPr="00F35B44" w:rsidRDefault="006C68F5" w:rsidP="006C68F5">
            <w:pPr>
              <w:rPr>
                <w:rFonts w:asciiTheme="majorHAnsi" w:hAnsiTheme="majorHAnsi" w:cstheme="majorHAnsi"/>
                <w:bCs/>
                <w:i/>
                <w:iCs/>
              </w:rPr>
            </w:pPr>
          </w:p>
        </w:tc>
        <w:tc>
          <w:tcPr>
            <w:tcW w:w="2268" w:type="dxa"/>
          </w:tcPr>
          <w:p w14:paraId="2D20E6AE" w14:textId="3A5C07D7" w:rsidR="006C68F5" w:rsidRPr="00F35B44" w:rsidRDefault="006C68F5" w:rsidP="006C68F5">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6C68F5" w:rsidRPr="00F35B44" w:rsidRDefault="006C68F5" w:rsidP="006C68F5">
            <w:pPr>
              <w:rPr>
                <w:rFonts w:asciiTheme="majorHAnsi" w:hAnsiTheme="majorHAnsi" w:cstheme="majorHAnsi"/>
                <w:bCs/>
                <w:i/>
                <w:iCs/>
              </w:rPr>
            </w:pPr>
          </w:p>
        </w:tc>
      </w:tr>
      <w:tr w:rsidR="006C68F5" w:rsidRPr="00F35B44" w14:paraId="7A17051C" w14:textId="77777777" w:rsidTr="002F4A29">
        <w:tc>
          <w:tcPr>
            <w:tcW w:w="2405" w:type="dxa"/>
          </w:tcPr>
          <w:p w14:paraId="75DCA501" w14:textId="16503875" w:rsidR="006C68F5" w:rsidRPr="00F35B44" w:rsidRDefault="006C68F5" w:rsidP="006C68F5">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6C68F5" w:rsidRPr="00F35B44" w:rsidRDefault="006C68F5" w:rsidP="006C68F5">
            <w:pPr>
              <w:rPr>
                <w:rFonts w:asciiTheme="majorHAnsi" w:hAnsiTheme="majorHAnsi" w:cstheme="majorHAnsi"/>
                <w:bCs/>
                <w:i/>
                <w:iCs/>
              </w:rPr>
            </w:pPr>
          </w:p>
        </w:tc>
        <w:tc>
          <w:tcPr>
            <w:tcW w:w="2268" w:type="dxa"/>
          </w:tcPr>
          <w:p w14:paraId="6BB8FD26" w14:textId="0F87D833" w:rsidR="006C68F5" w:rsidRPr="00F35B44" w:rsidRDefault="006C68F5" w:rsidP="006C68F5">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6C68F5" w:rsidRPr="00F35B44" w:rsidRDefault="006C68F5" w:rsidP="006C68F5">
            <w:pPr>
              <w:rPr>
                <w:rFonts w:asciiTheme="majorHAnsi" w:hAnsiTheme="majorHAnsi" w:cstheme="majorHAnsi"/>
                <w:bCs/>
                <w:i/>
                <w:iCs/>
              </w:rPr>
            </w:pPr>
          </w:p>
        </w:tc>
        <w:tc>
          <w:tcPr>
            <w:tcW w:w="2268" w:type="dxa"/>
          </w:tcPr>
          <w:p w14:paraId="1CCAC169" w14:textId="697DE535" w:rsidR="006C68F5" w:rsidRPr="00F35B44" w:rsidRDefault="006C68F5" w:rsidP="006C68F5">
            <w:pPr>
              <w:rPr>
                <w:rFonts w:asciiTheme="majorHAnsi" w:hAnsiTheme="majorHAnsi" w:cstheme="majorHAnsi"/>
                <w:bCs/>
                <w:i/>
                <w:iCs/>
              </w:rPr>
            </w:pPr>
            <w:r>
              <w:rPr>
                <w:rFonts w:asciiTheme="majorHAnsi" w:hAnsiTheme="majorHAnsi" w:cstheme="majorHAnsi"/>
                <w:bCs/>
                <w:i/>
                <w:iCs/>
              </w:rPr>
              <w:t>Expiry Date</w:t>
            </w:r>
          </w:p>
        </w:tc>
        <w:tc>
          <w:tcPr>
            <w:tcW w:w="850" w:type="dxa"/>
          </w:tcPr>
          <w:p w14:paraId="42689711" w14:textId="77777777" w:rsidR="006C68F5" w:rsidRDefault="006C68F5" w:rsidP="006C68F5">
            <w:pPr>
              <w:rPr>
                <w:rFonts w:asciiTheme="majorHAnsi" w:hAnsiTheme="majorHAnsi" w:cstheme="majorHAnsi"/>
                <w:bCs/>
                <w:i/>
                <w:iCs/>
              </w:rPr>
            </w:pPr>
          </w:p>
          <w:p w14:paraId="296A9D08" w14:textId="5F44823A" w:rsidR="000F0211" w:rsidRPr="00F35B44" w:rsidRDefault="000F0211" w:rsidP="006C68F5">
            <w:pPr>
              <w:rPr>
                <w:rFonts w:asciiTheme="majorHAnsi" w:hAnsiTheme="majorHAnsi" w:cstheme="majorHAnsi"/>
                <w:bCs/>
                <w:i/>
                <w:iCs/>
              </w:rPr>
            </w:pPr>
          </w:p>
        </w:tc>
      </w:tr>
      <w:tr w:rsidR="0026350B" w:rsidRPr="00F35B44" w14:paraId="0B537E94" w14:textId="77777777" w:rsidTr="002F4A29">
        <w:tc>
          <w:tcPr>
            <w:tcW w:w="2405" w:type="dxa"/>
          </w:tcPr>
          <w:p w14:paraId="033DDD13" w14:textId="77D0A051" w:rsidR="0026350B" w:rsidRPr="00F35B44" w:rsidRDefault="00DB455F" w:rsidP="006C68F5">
            <w:pPr>
              <w:rPr>
                <w:rFonts w:asciiTheme="majorHAnsi" w:hAnsiTheme="majorHAnsi" w:cstheme="majorHAnsi"/>
                <w:bCs/>
                <w:i/>
                <w:iCs/>
              </w:rPr>
            </w:pPr>
            <w:r>
              <w:rPr>
                <w:rFonts w:asciiTheme="majorHAnsi" w:hAnsiTheme="majorHAnsi" w:cstheme="majorHAnsi"/>
                <w:bCs/>
                <w:i/>
                <w:iCs/>
              </w:rPr>
              <w:t>Power to Spend</w:t>
            </w:r>
          </w:p>
        </w:tc>
        <w:tc>
          <w:tcPr>
            <w:tcW w:w="851" w:type="dxa"/>
          </w:tcPr>
          <w:p w14:paraId="7756D0F4" w14:textId="03E98251" w:rsidR="0026350B" w:rsidRPr="00F35B44" w:rsidRDefault="007E44FB" w:rsidP="006C68F5">
            <w:pPr>
              <w:rPr>
                <w:rFonts w:asciiTheme="majorHAnsi" w:hAnsiTheme="majorHAnsi" w:cstheme="majorHAnsi"/>
                <w:bCs/>
                <w:i/>
                <w:iCs/>
              </w:rPr>
            </w:pPr>
            <w:r>
              <w:t>Local Government Act 1972 Sec 137</w:t>
            </w:r>
          </w:p>
        </w:tc>
        <w:tc>
          <w:tcPr>
            <w:tcW w:w="2268" w:type="dxa"/>
          </w:tcPr>
          <w:p w14:paraId="589B238B" w14:textId="3EF0B873" w:rsidR="0026350B" w:rsidRDefault="0026350B" w:rsidP="006C68F5">
            <w:pPr>
              <w:rPr>
                <w:rFonts w:asciiTheme="majorHAnsi" w:hAnsiTheme="majorHAnsi" w:cstheme="majorHAnsi"/>
                <w:bCs/>
                <w:i/>
                <w:iCs/>
              </w:rPr>
            </w:pPr>
          </w:p>
        </w:tc>
        <w:tc>
          <w:tcPr>
            <w:tcW w:w="708" w:type="dxa"/>
          </w:tcPr>
          <w:p w14:paraId="52AF627D" w14:textId="77777777" w:rsidR="0026350B" w:rsidRPr="00F35B44" w:rsidRDefault="0026350B" w:rsidP="006C68F5">
            <w:pPr>
              <w:rPr>
                <w:rFonts w:asciiTheme="majorHAnsi" w:hAnsiTheme="majorHAnsi" w:cstheme="majorHAnsi"/>
                <w:bCs/>
                <w:i/>
                <w:iCs/>
              </w:rPr>
            </w:pPr>
          </w:p>
        </w:tc>
        <w:tc>
          <w:tcPr>
            <w:tcW w:w="2268" w:type="dxa"/>
          </w:tcPr>
          <w:p w14:paraId="2D622AD4" w14:textId="77777777" w:rsidR="0026350B" w:rsidRDefault="0026350B" w:rsidP="006C68F5">
            <w:pPr>
              <w:rPr>
                <w:rFonts w:asciiTheme="majorHAnsi" w:hAnsiTheme="majorHAnsi" w:cstheme="majorHAnsi"/>
                <w:bCs/>
                <w:i/>
                <w:iCs/>
              </w:rPr>
            </w:pPr>
          </w:p>
        </w:tc>
        <w:tc>
          <w:tcPr>
            <w:tcW w:w="850" w:type="dxa"/>
          </w:tcPr>
          <w:p w14:paraId="2A11E38E" w14:textId="77777777" w:rsidR="0026350B" w:rsidRDefault="0026350B" w:rsidP="006C68F5">
            <w:pPr>
              <w:rPr>
                <w:rFonts w:asciiTheme="majorHAnsi" w:hAnsiTheme="majorHAnsi" w:cstheme="majorHAnsi"/>
                <w:bCs/>
                <w:i/>
                <w:iCs/>
              </w:rPr>
            </w:pPr>
          </w:p>
        </w:tc>
      </w:tr>
    </w:tbl>
    <w:p w14:paraId="2F35D014" w14:textId="5E07CF3B"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3E7F5" w14:textId="77777777" w:rsidR="00EE064B" w:rsidRDefault="00EE064B" w:rsidP="005E6E50">
      <w:r>
        <w:separator/>
      </w:r>
    </w:p>
  </w:endnote>
  <w:endnote w:type="continuationSeparator" w:id="0">
    <w:p w14:paraId="0849AF62" w14:textId="77777777" w:rsidR="00EE064B" w:rsidRDefault="00EE064B" w:rsidP="005E6E50">
      <w:r>
        <w:continuationSeparator/>
      </w:r>
    </w:p>
  </w:endnote>
  <w:endnote w:type="continuationNotice" w:id="1">
    <w:p w14:paraId="7E186B0E" w14:textId="77777777" w:rsidR="00EE064B" w:rsidRDefault="00EE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0D7A" w14:textId="77777777" w:rsidR="00EE064B" w:rsidRDefault="00EE064B" w:rsidP="005E6E50">
      <w:r>
        <w:separator/>
      </w:r>
    </w:p>
  </w:footnote>
  <w:footnote w:type="continuationSeparator" w:id="0">
    <w:p w14:paraId="1B50FFD2" w14:textId="77777777" w:rsidR="00EE064B" w:rsidRDefault="00EE064B" w:rsidP="005E6E50">
      <w:r>
        <w:continuationSeparator/>
      </w:r>
    </w:p>
  </w:footnote>
  <w:footnote w:type="continuationNotice" w:id="1">
    <w:p w14:paraId="0D04F23E" w14:textId="77777777" w:rsidR="00EE064B" w:rsidRDefault="00EE0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798E"/>
    <w:multiLevelType w:val="multilevel"/>
    <w:tmpl w:val="FECA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141DC"/>
    <w:multiLevelType w:val="multilevel"/>
    <w:tmpl w:val="C0868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EA08F1"/>
    <w:multiLevelType w:val="multilevel"/>
    <w:tmpl w:val="6C48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75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76458">
    <w:abstractNumId w:val="1"/>
  </w:num>
  <w:num w:numId="3" w16cid:durableId="541019916">
    <w:abstractNumId w:val="0"/>
  </w:num>
  <w:num w:numId="4" w16cid:durableId="16297036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0B94"/>
    <w:rsid w:val="000129FC"/>
    <w:rsid w:val="000139F8"/>
    <w:rsid w:val="00031C17"/>
    <w:rsid w:val="00040BCC"/>
    <w:rsid w:val="000472C3"/>
    <w:rsid w:val="00052461"/>
    <w:rsid w:val="00061932"/>
    <w:rsid w:val="00064BD5"/>
    <w:rsid w:val="000846DE"/>
    <w:rsid w:val="00087C83"/>
    <w:rsid w:val="0009072B"/>
    <w:rsid w:val="000A11F9"/>
    <w:rsid w:val="000A68C5"/>
    <w:rsid w:val="000A7F9B"/>
    <w:rsid w:val="000B12C3"/>
    <w:rsid w:val="000B65ED"/>
    <w:rsid w:val="000D0070"/>
    <w:rsid w:val="000E6A43"/>
    <w:rsid w:val="000E7E9A"/>
    <w:rsid w:val="000F0211"/>
    <w:rsid w:val="000F4388"/>
    <w:rsid w:val="000F6C63"/>
    <w:rsid w:val="00105A1A"/>
    <w:rsid w:val="00112076"/>
    <w:rsid w:val="00115D90"/>
    <w:rsid w:val="0012353D"/>
    <w:rsid w:val="00125FBF"/>
    <w:rsid w:val="001370C0"/>
    <w:rsid w:val="00142883"/>
    <w:rsid w:val="0016042F"/>
    <w:rsid w:val="0018478B"/>
    <w:rsid w:val="0019014F"/>
    <w:rsid w:val="00191A6A"/>
    <w:rsid w:val="00191B80"/>
    <w:rsid w:val="00194A2B"/>
    <w:rsid w:val="001A4C7F"/>
    <w:rsid w:val="001A7D29"/>
    <w:rsid w:val="001B3E9E"/>
    <w:rsid w:val="001B4AB4"/>
    <w:rsid w:val="001B4EF1"/>
    <w:rsid w:val="001C0833"/>
    <w:rsid w:val="001C6663"/>
    <w:rsid w:val="001E1ECC"/>
    <w:rsid w:val="001F2550"/>
    <w:rsid w:val="001F4719"/>
    <w:rsid w:val="002061B8"/>
    <w:rsid w:val="0021147D"/>
    <w:rsid w:val="00222CD6"/>
    <w:rsid w:val="00233093"/>
    <w:rsid w:val="0023411B"/>
    <w:rsid w:val="00236A3D"/>
    <w:rsid w:val="00245BFA"/>
    <w:rsid w:val="00246A00"/>
    <w:rsid w:val="0025036C"/>
    <w:rsid w:val="00256C66"/>
    <w:rsid w:val="00257C87"/>
    <w:rsid w:val="0026350B"/>
    <w:rsid w:val="002737F7"/>
    <w:rsid w:val="0029485E"/>
    <w:rsid w:val="002A2957"/>
    <w:rsid w:val="002A46D2"/>
    <w:rsid w:val="002B0C09"/>
    <w:rsid w:val="002B769A"/>
    <w:rsid w:val="002C6AC3"/>
    <w:rsid w:val="002D0113"/>
    <w:rsid w:val="002E4E20"/>
    <w:rsid w:val="002F4A29"/>
    <w:rsid w:val="00304AD4"/>
    <w:rsid w:val="00304EBA"/>
    <w:rsid w:val="0030531D"/>
    <w:rsid w:val="0031300F"/>
    <w:rsid w:val="00315153"/>
    <w:rsid w:val="00317704"/>
    <w:rsid w:val="00320C03"/>
    <w:rsid w:val="003229AD"/>
    <w:rsid w:val="003273F4"/>
    <w:rsid w:val="00331591"/>
    <w:rsid w:val="0033350F"/>
    <w:rsid w:val="003400C5"/>
    <w:rsid w:val="00363883"/>
    <w:rsid w:val="00373D22"/>
    <w:rsid w:val="00374A42"/>
    <w:rsid w:val="00384AE7"/>
    <w:rsid w:val="00393992"/>
    <w:rsid w:val="003B0C4F"/>
    <w:rsid w:val="003B1022"/>
    <w:rsid w:val="003B380A"/>
    <w:rsid w:val="003C2933"/>
    <w:rsid w:val="003C3ADA"/>
    <w:rsid w:val="003C6C34"/>
    <w:rsid w:val="003D20F6"/>
    <w:rsid w:val="003D25B6"/>
    <w:rsid w:val="003D37CE"/>
    <w:rsid w:val="003D496A"/>
    <w:rsid w:val="003D5C24"/>
    <w:rsid w:val="004002DE"/>
    <w:rsid w:val="00402D59"/>
    <w:rsid w:val="004064BD"/>
    <w:rsid w:val="00411FFA"/>
    <w:rsid w:val="004120D4"/>
    <w:rsid w:val="00416228"/>
    <w:rsid w:val="00417546"/>
    <w:rsid w:val="004252A5"/>
    <w:rsid w:val="00427684"/>
    <w:rsid w:val="0043199C"/>
    <w:rsid w:val="004520D1"/>
    <w:rsid w:val="004550DE"/>
    <w:rsid w:val="004558CD"/>
    <w:rsid w:val="00455B0C"/>
    <w:rsid w:val="00461B55"/>
    <w:rsid w:val="00462A57"/>
    <w:rsid w:val="00462FA2"/>
    <w:rsid w:val="004631B1"/>
    <w:rsid w:val="00463C07"/>
    <w:rsid w:val="00486DE2"/>
    <w:rsid w:val="00496E9B"/>
    <w:rsid w:val="004A3151"/>
    <w:rsid w:val="004B6A67"/>
    <w:rsid w:val="004C22BE"/>
    <w:rsid w:val="004C7DEB"/>
    <w:rsid w:val="004E1DDA"/>
    <w:rsid w:val="004E5E84"/>
    <w:rsid w:val="004E6990"/>
    <w:rsid w:val="004F2121"/>
    <w:rsid w:val="004F58B8"/>
    <w:rsid w:val="005070EE"/>
    <w:rsid w:val="00514CAE"/>
    <w:rsid w:val="0051510A"/>
    <w:rsid w:val="005359B9"/>
    <w:rsid w:val="005509AA"/>
    <w:rsid w:val="00552F03"/>
    <w:rsid w:val="0055393D"/>
    <w:rsid w:val="005549C4"/>
    <w:rsid w:val="00566108"/>
    <w:rsid w:val="00577270"/>
    <w:rsid w:val="0057748C"/>
    <w:rsid w:val="0058422D"/>
    <w:rsid w:val="00585A0F"/>
    <w:rsid w:val="00587CB8"/>
    <w:rsid w:val="005900C5"/>
    <w:rsid w:val="005A4BCE"/>
    <w:rsid w:val="005A7CD6"/>
    <w:rsid w:val="005B14B9"/>
    <w:rsid w:val="005B2975"/>
    <w:rsid w:val="005B48A5"/>
    <w:rsid w:val="005B6B18"/>
    <w:rsid w:val="005C46E9"/>
    <w:rsid w:val="005C63BF"/>
    <w:rsid w:val="005C7E60"/>
    <w:rsid w:val="005D46CE"/>
    <w:rsid w:val="005D5D27"/>
    <w:rsid w:val="005D6AA8"/>
    <w:rsid w:val="005E2233"/>
    <w:rsid w:val="005E6E50"/>
    <w:rsid w:val="005F7B52"/>
    <w:rsid w:val="00614FCF"/>
    <w:rsid w:val="00615273"/>
    <w:rsid w:val="00620F1D"/>
    <w:rsid w:val="0062383F"/>
    <w:rsid w:val="0062651F"/>
    <w:rsid w:val="0063380B"/>
    <w:rsid w:val="00645677"/>
    <w:rsid w:val="00653319"/>
    <w:rsid w:val="00656423"/>
    <w:rsid w:val="006618E9"/>
    <w:rsid w:val="00661D34"/>
    <w:rsid w:val="00661FF5"/>
    <w:rsid w:val="006647A9"/>
    <w:rsid w:val="00665CC6"/>
    <w:rsid w:val="00674545"/>
    <w:rsid w:val="00680698"/>
    <w:rsid w:val="0068292B"/>
    <w:rsid w:val="00693068"/>
    <w:rsid w:val="006A0F46"/>
    <w:rsid w:val="006A4EFF"/>
    <w:rsid w:val="006B5EF9"/>
    <w:rsid w:val="006B6D57"/>
    <w:rsid w:val="006B70B1"/>
    <w:rsid w:val="006C1A52"/>
    <w:rsid w:val="006C3A88"/>
    <w:rsid w:val="006C68F5"/>
    <w:rsid w:val="006D0D2E"/>
    <w:rsid w:val="006E0DF2"/>
    <w:rsid w:val="006F22BC"/>
    <w:rsid w:val="006F4CAD"/>
    <w:rsid w:val="006F4ED6"/>
    <w:rsid w:val="00702E05"/>
    <w:rsid w:val="00711A49"/>
    <w:rsid w:val="007155F3"/>
    <w:rsid w:val="00720EF0"/>
    <w:rsid w:val="00731316"/>
    <w:rsid w:val="00731A0E"/>
    <w:rsid w:val="00746133"/>
    <w:rsid w:val="00752E4C"/>
    <w:rsid w:val="00753284"/>
    <w:rsid w:val="00755EB9"/>
    <w:rsid w:val="007619FC"/>
    <w:rsid w:val="00786534"/>
    <w:rsid w:val="007937B6"/>
    <w:rsid w:val="00797C3B"/>
    <w:rsid w:val="007A5A44"/>
    <w:rsid w:val="007B3613"/>
    <w:rsid w:val="007C01F0"/>
    <w:rsid w:val="007D2464"/>
    <w:rsid w:val="007D4877"/>
    <w:rsid w:val="007D589E"/>
    <w:rsid w:val="007E44FB"/>
    <w:rsid w:val="007F50C9"/>
    <w:rsid w:val="00800E88"/>
    <w:rsid w:val="008079A5"/>
    <w:rsid w:val="00815AC3"/>
    <w:rsid w:val="00817590"/>
    <w:rsid w:val="00821CD8"/>
    <w:rsid w:val="00823F31"/>
    <w:rsid w:val="00837325"/>
    <w:rsid w:val="00854097"/>
    <w:rsid w:val="00860781"/>
    <w:rsid w:val="00860F21"/>
    <w:rsid w:val="00864E30"/>
    <w:rsid w:val="00866BC0"/>
    <w:rsid w:val="008709FD"/>
    <w:rsid w:val="00881D20"/>
    <w:rsid w:val="00893030"/>
    <w:rsid w:val="008940E7"/>
    <w:rsid w:val="00894BEE"/>
    <w:rsid w:val="008A2F35"/>
    <w:rsid w:val="008A4040"/>
    <w:rsid w:val="008A4B92"/>
    <w:rsid w:val="008A7655"/>
    <w:rsid w:val="008B3F22"/>
    <w:rsid w:val="008C22A3"/>
    <w:rsid w:val="008C2845"/>
    <w:rsid w:val="008C3EE8"/>
    <w:rsid w:val="008D0DF2"/>
    <w:rsid w:val="008D7A22"/>
    <w:rsid w:val="008F071F"/>
    <w:rsid w:val="008F0FB7"/>
    <w:rsid w:val="008F40B9"/>
    <w:rsid w:val="0090233B"/>
    <w:rsid w:val="00903975"/>
    <w:rsid w:val="00903FE8"/>
    <w:rsid w:val="0090730D"/>
    <w:rsid w:val="00912273"/>
    <w:rsid w:val="00921A18"/>
    <w:rsid w:val="0092237D"/>
    <w:rsid w:val="009245E8"/>
    <w:rsid w:val="00924A6A"/>
    <w:rsid w:val="009278FA"/>
    <w:rsid w:val="00931999"/>
    <w:rsid w:val="009460AC"/>
    <w:rsid w:val="00947190"/>
    <w:rsid w:val="00953939"/>
    <w:rsid w:val="00955FDB"/>
    <w:rsid w:val="00965E2B"/>
    <w:rsid w:val="00967594"/>
    <w:rsid w:val="00967F77"/>
    <w:rsid w:val="009712AF"/>
    <w:rsid w:val="0097762E"/>
    <w:rsid w:val="009834B8"/>
    <w:rsid w:val="00990BE1"/>
    <w:rsid w:val="00991555"/>
    <w:rsid w:val="0099369F"/>
    <w:rsid w:val="00996A51"/>
    <w:rsid w:val="009A0416"/>
    <w:rsid w:val="009A42F1"/>
    <w:rsid w:val="009A5BA0"/>
    <w:rsid w:val="009B0DC8"/>
    <w:rsid w:val="009B67E4"/>
    <w:rsid w:val="009C38B5"/>
    <w:rsid w:val="009D0A75"/>
    <w:rsid w:val="009D5B73"/>
    <w:rsid w:val="009D62B4"/>
    <w:rsid w:val="009E2150"/>
    <w:rsid w:val="009F308F"/>
    <w:rsid w:val="009F56C6"/>
    <w:rsid w:val="00A00918"/>
    <w:rsid w:val="00A10436"/>
    <w:rsid w:val="00A13D42"/>
    <w:rsid w:val="00A1564D"/>
    <w:rsid w:val="00A2063B"/>
    <w:rsid w:val="00A22D61"/>
    <w:rsid w:val="00A26007"/>
    <w:rsid w:val="00A2669E"/>
    <w:rsid w:val="00A42DF8"/>
    <w:rsid w:val="00A4327C"/>
    <w:rsid w:val="00A6243B"/>
    <w:rsid w:val="00A62EFA"/>
    <w:rsid w:val="00A65963"/>
    <w:rsid w:val="00A670A0"/>
    <w:rsid w:val="00A70EEF"/>
    <w:rsid w:val="00A77A84"/>
    <w:rsid w:val="00A824D2"/>
    <w:rsid w:val="00A825A8"/>
    <w:rsid w:val="00A92E60"/>
    <w:rsid w:val="00AA317A"/>
    <w:rsid w:val="00AB72D2"/>
    <w:rsid w:val="00AC469B"/>
    <w:rsid w:val="00AD11C9"/>
    <w:rsid w:val="00AD2C70"/>
    <w:rsid w:val="00AD3D52"/>
    <w:rsid w:val="00AE11AE"/>
    <w:rsid w:val="00AE1F2F"/>
    <w:rsid w:val="00AF6643"/>
    <w:rsid w:val="00B14242"/>
    <w:rsid w:val="00B1760B"/>
    <w:rsid w:val="00B20612"/>
    <w:rsid w:val="00B33743"/>
    <w:rsid w:val="00B41C96"/>
    <w:rsid w:val="00B432C7"/>
    <w:rsid w:val="00B444F7"/>
    <w:rsid w:val="00B5468B"/>
    <w:rsid w:val="00B6153E"/>
    <w:rsid w:val="00B649B0"/>
    <w:rsid w:val="00B65DDB"/>
    <w:rsid w:val="00B669A5"/>
    <w:rsid w:val="00B73D63"/>
    <w:rsid w:val="00B75B21"/>
    <w:rsid w:val="00B85733"/>
    <w:rsid w:val="00B91CBB"/>
    <w:rsid w:val="00B93DA7"/>
    <w:rsid w:val="00BA4797"/>
    <w:rsid w:val="00BA6C7F"/>
    <w:rsid w:val="00BA7227"/>
    <w:rsid w:val="00BB1ABA"/>
    <w:rsid w:val="00BB355D"/>
    <w:rsid w:val="00BC7A38"/>
    <w:rsid w:val="00BD62C0"/>
    <w:rsid w:val="00BD75F8"/>
    <w:rsid w:val="00BF133A"/>
    <w:rsid w:val="00BF6D64"/>
    <w:rsid w:val="00BF7EE1"/>
    <w:rsid w:val="00C01E4B"/>
    <w:rsid w:val="00C0548A"/>
    <w:rsid w:val="00C12CC8"/>
    <w:rsid w:val="00C130EF"/>
    <w:rsid w:val="00C30C23"/>
    <w:rsid w:val="00C40974"/>
    <w:rsid w:val="00C410C5"/>
    <w:rsid w:val="00C469EE"/>
    <w:rsid w:val="00C562D6"/>
    <w:rsid w:val="00C613B0"/>
    <w:rsid w:val="00C845F8"/>
    <w:rsid w:val="00C901E8"/>
    <w:rsid w:val="00C95A1F"/>
    <w:rsid w:val="00CA08F5"/>
    <w:rsid w:val="00CA44ED"/>
    <w:rsid w:val="00CB2546"/>
    <w:rsid w:val="00CB2B57"/>
    <w:rsid w:val="00CB2EDA"/>
    <w:rsid w:val="00CB4248"/>
    <w:rsid w:val="00CD519B"/>
    <w:rsid w:val="00CF2285"/>
    <w:rsid w:val="00D067BE"/>
    <w:rsid w:val="00D07AD4"/>
    <w:rsid w:val="00D10937"/>
    <w:rsid w:val="00D1144E"/>
    <w:rsid w:val="00D203F9"/>
    <w:rsid w:val="00D21952"/>
    <w:rsid w:val="00D21EF1"/>
    <w:rsid w:val="00D27C5B"/>
    <w:rsid w:val="00D3276F"/>
    <w:rsid w:val="00D33851"/>
    <w:rsid w:val="00D409E4"/>
    <w:rsid w:val="00D42C36"/>
    <w:rsid w:val="00D47E01"/>
    <w:rsid w:val="00D533EB"/>
    <w:rsid w:val="00D71418"/>
    <w:rsid w:val="00D753E1"/>
    <w:rsid w:val="00D76FCD"/>
    <w:rsid w:val="00D80898"/>
    <w:rsid w:val="00D91E8F"/>
    <w:rsid w:val="00D92B17"/>
    <w:rsid w:val="00D940A8"/>
    <w:rsid w:val="00D95157"/>
    <w:rsid w:val="00D9612C"/>
    <w:rsid w:val="00DA3790"/>
    <w:rsid w:val="00DB07A7"/>
    <w:rsid w:val="00DB455F"/>
    <w:rsid w:val="00DB6171"/>
    <w:rsid w:val="00DB7FF9"/>
    <w:rsid w:val="00DD2E58"/>
    <w:rsid w:val="00DD43C6"/>
    <w:rsid w:val="00DF70BE"/>
    <w:rsid w:val="00E02C47"/>
    <w:rsid w:val="00E02D40"/>
    <w:rsid w:val="00E04E19"/>
    <w:rsid w:val="00E117A0"/>
    <w:rsid w:val="00E17210"/>
    <w:rsid w:val="00E23847"/>
    <w:rsid w:val="00E279D3"/>
    <w:rsid w:val="00E558E7"/>
    <w:rsid w:val="00E60A00"/>
    <w:rsid w:val="00E82E24"/>
    <w:rsid w:val="00E8349F"/>
    <w:rsid w:val="00E91C0C"/>
    <w:rsid w:val="00EA4B7C"/>
    <w:rsid w:val="00EB7A50"/>
    <w:rsid w:val="00EC1920"/>
    <w:rsid w:val="00ED3144"/>
    <w:rsid w:val="00ED7E6C"/>
    <w:rsid w:val="00EE064B"/>
    <w:rsid w:val="00EF64B7"/>
    <w:rsid w:val="00F00EC5"/>
    <w:rsid w:val="00F066D3"/>
    <w:rsid w:val="00F12CD4"/>
    <w:rsid w:val="00F1590F"/>
    <w:rsid w:val="00F218BC"/>
    <w:rsid w:val="00F2724C"/>
    <w:rsid w:val="00F30BF1"/>
    <w:rsid w:val="00F350E1"/>
    <w:rsid w:val="00F35B44"/>
    <w:rsid w:val="00F3726C"/>
    <w:rsid w:val="00F402D3"/>
    <w:rsid w:val="00F40799"/>
    <w:rsid w:val="00F514A7"/>
    <w:rsid w:val="00F52C4D"/>
    <w:rsid w:val="00F6505F"/>
    <w:rsid w:val="00F6668D"/>
    <w:rsid w:val="00F762F9"/>
    <w:rsid w:val="00F763A3"/>
    <w:rsid w:val="00F77AE4"/>
    <w:rsid w:val="00F827FF"/>
    <w:rsid w:val="00F845D2"/>
    <w:rsid w:val="00F87A0C"/>
    <w:rsid w:val="00FA3EAE"/>
    <w:rsid w:val="00FA5366"/>
    <w:rsid w:val="00FA7FC7"/>
    <w:rsid w:val="00FB5A3B"/>
    <w:rsid w:val="00FB7742"/>
    <w:rsid w:val="00FC50AA"/>
    <w:rsid w:val="00FC74F9"/>
    <w:rsid w:val="00FD1320"/>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2">
    <w:name w:val="heading 2"/>
    <w:basedOn w:val="Normal"/>
    <w:next w:val="Normal"/>
    <w:link w:val="Heading2Char"/>
    <w:uiPriority w:val="9"/>
    <w:semiHidden/>
    <w:unhideWhenUsed/>
    <w:qFormat/>
    <w:rsid w:val="00FA7F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Strong">
    <w:name w:val="Strong"/>
    <w:basedOn w:val="DefaultParagraphFont"/>
    <w:uiPriority w:val="22"/>
    <w:qFormat/>
    <w:rsid w:val="003D37CE"/>
    <w:rPr>
      <w:b/>
      <w:bCs/>
    </w:rPr>
  </w:style>
  <w:style w:type="character" w:customStyle="1" w:styleId="Heading2Char">
    <w:name w:val="Heading 2 Char"/>
    <w:basedOn w:val="DefaultParagraphFont"/>
    <w:link w:val="Heading2"/>
    <w:uiPriority w:val="9"/>
    <w:semiHidden/>
    <w:rsid w:val="00FA7FC7"/>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012102127">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1602344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F0E6-41BD-49D3-A00D-E18FF2B40EDB}">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6AD08C23-B334-4A5E-A8B9-8EE659E1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A37AE-4CA8-4CA3-A431-4C4A7100A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28</cp:revision>
  <cp:lastPrinted>2024-06-20T14:01:00Z</cp:lastPrinted>
  <dcterms:created xsi:type="dcterms:W3CDTF">2026-02-25T13:48:00Z</dcterms:created>
  <dcterms:modified xsi:type="dcterms:W3CDTF">2026-02-26T16:10:00Z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