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5098"/>
        <w:gridCol w:w="4253"/>
      </w:tblGrid>
      <w:tr w:rsidR="00E8349F" w14:paraId="4A6F4BD6" w14:textId="77777777" w:rsidTr="00FD73EB">
        <w:tc>
          <w:tcPr>
            <w:tcW w:w="5098"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253" w:type="dxa"/>
            <w:tcBorders>
              <w:bottom w:val="single" w:sz="4" w:space="0" w:color="auto"/>
            </w:tcBorders>
          </w:tcPr>
          <w:p w14:paraId="61D884E6" w14:textId="6BB2A9D7"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C51944">
              <w:rPr>
                <w:rFonts w:ascii="Arial" w:hAnsi="Arial" w:cs="Arial"/>
                <w:b/>
              </w:rPr>
              <w:t>15</w:t>
            </w:r>
          </w:p>
        </w:tc>
      </w:tr>
      <w:tr w:rsidR="00E8349F" w14:paraId="47091A02" w14:textId="77777777" w:rsidTr="00FD73EB">
        <w:tc>
          <w:tcPr>
            <w:tcW w:w="5098" w:type="dxa"/>
            <w:tcBorders>
              <w:bottom w:val="single" w:sz="4" w:space="0" w:color="auto"/>
            </w:tcBorders>
          </w:tcPr>
          <w:p w14:paraId="401DF4F2" w14:textId="7D44774D"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E1B96" w:rsidRPr="002E1B96">
              <w:rPr>
                <w:rFonts w:ascii="Arial" w:hAnsi="Arial" w:cs="Arial"/>
                <w:bCs/>
              </w:rPr>
              <w:t>12 November 2025</w:t>
            </w:r>
          </w:p>
        </w:tc>
        <w:tc>
          <w:tcPr>
            <w:tcW w:w="4253"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FD73EB">
        <w:trPr>
          <w:trHeight w:val="314"/>
        </w:trPr>
        <w:tc>
          <w:tcPr>
            <w:tcW w:w="5098" w:type="dxa"/>
            <w:tcBorders>
              <w:top w:val="single" w:sz="4" w:space="0" w:color="auto"/>
              <w:bottom w:val="single" w:sz="4" w:space="0" w:color="auto"/>
            </w:tcBorders>
          </w:tcPr>
          <w:p w14:paraId="673100B4" w14:textId="13F61A69" w:rsidR="00661FF5" w:rsidRPr="00FD73EB" w:rsidRDefault="00E8349F" w:rsidP="00E8349F">
            <w:pPr>
              <w:rPr>
                <w:rFonts w:ascii="Arial" w:hAnsi="Arial" w:cs="Arial"/>
                <w:bCs/>
                <w:sz w:val="22"/>
                <w:szCs w:val="22"/>
              </w:rPr>
            </w:pPr>
            <w:r w:rsidRPr="00FD73EB">
              <w:rPr>
                <w:rFonts w:ascii="Arial" w:hAnsi="Arial" w:cs="Arial"/>
                <w:b/>
                <w:sz w:val="22"/>
                <w:szCs w:val="22"/>
              </w:rPr>
              <w:t>Report Author:</w:t>
            </w:r>
            <w:r w:rsidR="00B1760B" w:rsidRPr="00FD73EB">
              <w:rPr>
                <w:rFonts w:ascii="Arial" w:hAnsi="Arial" w:cs="Arial"/>
                <w:bCs/>
                <w:sz w:val="22"/>
                <w:szCs w:val="22"/>
              </w:rPr>
              <w:t xml:space="preserve"> </w:t>
            </w:r>
            <w:r w:rsidR="00EB53AB">
              <w:rPr>
                <w:rFonts w:ascii="Arial" w:hAnsi="Arial" w:cs="Arial"/>
                <w:bCs/>
                <w:sz w:val="22"/>
                <w:szCs w:val="22"/>
              </w:rPr>
              <w:t>Cllr</w:t>
            </w:r>
            <w:r w:rsidR="002E1B96" w:rsidRPr="00FD73EB">
              <w:rPr>
                <w:rFonts w:ascii="Arial" w:hAnsi="Arial" w:cs="Arial"/>
                <w:bCs/>
                <w:sz w:val="22"/>
                <w:szCs w:val="22"/>
              </w:rPr>
              <w:t xml:space="preserve"> Ainsley</w:t>
            </w:r>
            <w:r w:rsidR="00FD73EB" w:rsidRPr="00FD73EB">
              <w:rPr>
                <w:rFonts w:ascii="Arial" w:hAnsi="Arial" w:cs="Arial"/>
                <w:bCs/>
                <w:sz w:val="22"/>
                <w:szCs w:val="22"/>
              </w:rPr>
              <w:t xml:space="preserve"> and Melanie Palmer</w:t>
            </w:r>
          </w:p>
        </w:tc>
        <w:tc>
          <w:tcPr>
            <w:tcW w:w="4253" w:type="dxa"/>
            <w:tcBorders>
              <w:top w:val="single" w:sz="4" w:space="0" w:color="auto"/>
              <w:bottom w:val="single" w:sz="4" w:space="0" w:color="auto"/>
            </w:tcBorders>
          </w:tcPr>
          <w:p w14:paraId="64906631" w14:textId="7386157F" w:rsidR="00610F50" w:rsidRPr="00FD73EB" w:rsidRDefault="005711C8" w:rsidP="00E8349F">
            <w:pPr>
              <w:rPr>
                <w:rFonts w:ascii="Arial" w:hAnsi="Arial" w:cs="Arial"/>
                <w:strike/>
                <w:sz w:val="22"/>
                <w:szCs w:val="22"/>
              </w:rPr>
            </w:pPr>
            <w:r w:rsidRPr="00FD73EB">
              <w:rPr>
                <w:rFonts w:ascii="Arial" w:hAnsi="Arial" w:cs="Arial"/>
                <w:b/>
                <w:sz w:val="22"/>
                <w:szCs w:val="22"/>
              </w:rPr>
              <w:t xml:space="preserve">Purpose: </w:t>
            </w:r>
            <w:r w:rsidRPr="00FD73EB">
              <w:rPr>
                <w:rFonts w:ascii="Arial" w:hAnsi="Arial" w:cs="Arial"/>
                <w:sz w:val="22"/>
                <w:szCs w:val="22"/>
              </w:rPr>
              <w:t xml:space="preserve">Decision / </w:t>
            </w:r>
            <w:r w:rsidRPr="00FD73EB">
              <w:rPr>
                <w:rFonts w:ascii="Arial" w:hAnsi="Arial" w:cs="Arial"/>
                <w:strike/>
                <w:sz w:val="22"/>
                <w:szCs w:val="22"/>
              </w:rPr>
              <w:t>Discussion</w:t>
            </w:r>
            <w:r w:rsidRPr="00FD73EB">
              <w:rPr>
                <w:rFonts w:ascii="Arial" w:hAnsi="Arial" w:cs="Arial"/>
                <w:sz w:val="22"/>
                <w:szCs w:val="22"/>
              </w:rPr>
              <w:t xml:space="preserve"> / Update</w:t>
            </w:r>
            <w:r w:rsidRPr="00FD73EB">
              <w:rPr>
                <w:rFonts w:ascii="Arial" w:hAnsi="Arial" w:cs="Arial"/>
                <w:strike/>
                <w:sz w:val="22"/>
                <w:szCs w:val="22"/>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241FD048" w:rsidR="00661FF5" w:rsidRPr="00FD73EB" w:rsidRDefault="00E8349F" w:rsidP="00E8349F">
            <w:pPr>
              <w:rPr>
                <w:rFonts w:ascii="Arial" w:hAnsi="Arial" w:cs="Arial"/>
                <w:b/>
                <w:sz w:val="22"/>
                <w:szCs w:val="22"/>
                <w:lang w:val="en-GB"/>
              </w:rPr>
            </w:pPr>
            <w:r w:rsidRPr="00FD73EB">
              <w:rPr>
                <w:rFonts w:ascii="Arial" w:hAnsi="Arial" w:cs="Arial"/>
                <w:b/>
                <w:sz w:val="22"/>
                <w:szCs w:val="22"/>
              </w:rPr>
              <w:t>Title</w:t>
            </w:r>
            <w:r w:rsidR="003B3D66" w:rsidRPr="00FD73EB">
              <w:rPr>
                <w:rFonts w:ascii="Arial" w:hAnsi="Arial" w:cs="Arial"/>
                <w:b/>
                <w:sz w:val="22"/>
                <w:szCs w:val="22"/>
              </w:rPr>
              <w:t xml:space="preserve">: </w:t>
            </w:r>
            <w:r w:rsidR="0074219B" w:rsidRPr="00FD73EB">
              <w:rPr>
                <w:rFonts w:ascii="Arial" w:hAnsi="Arial" w:cs="Arial"/>
                <w:bCs/>
                <w:sz w:val="22"/>
                <w:szCs w:val="22"/>
              </w:rPr>
              <w:t>Victoria Hall</w:t>
            </w:r>
          </w:p>
        </w:tc>
      </w:tr>
      <w:tr w:rsidR="00E8349F" w14:paraId="46E0336B" w14:textId="77777777" w:rsidTr="009834B8">
        <w:tc>
          <w:tcPr>
            <w:tcW w:w="9351" w:type="dxa"/>
            <w:gridSpan w:val="2"/>
            <w:tcBorders>
              <w:top w:val="single" w:sz="4" w:space="0" w:color="auto"/>
              <w:bottom w:val="single" w:sz="4" w:space="0" w:color="auto"/>
            </w:tcBorders>
          </w:tcPr>
          <w:p w14:paraId="4AEDB492" w14:textId="552BB4CE" w:rsidR="00701097" w:rsidRPr="00FD73EB" w:rsidRDefault="005711C8" w:rsidP="00D71418">
            <w:pPr>
              <w:rPr>
                <w:rFonts w:ascii="Arial" w:hAnsi="Arial" w:cs="Arial"/>
                <w:bCs/>
                <w:sz w:val="22"/>
                <w:szCs w:val="22"/>
              </w:rPr>
            </w:pPr>
            <w:r w:rsidRPr="00FD73EB">
              <w:rPr>
                <w:rFonts w:ascii="Arial" w:hAnsi="Arial" w:cs="Arial"/>
                <w:b/>
                <w:sz w:val="22"/>
                <w:szCs w:val="22"/>
              </w:rPr>
              <w:t>Background</w:t>
            </w:r>
            <w:r w:rsidR="000D0070" w:rsidRPr="00FD73EB">
              <w:rPr>
                <w:rFonts w:ascii="Arial" w:hAnsi="Arial" w:cs="Arial"/>
                <w:b/>
                <w:sz w:val="22"/>
                <w:szCs w:val="22"/>
              </w:rPr>
              <w:t>:</w:t>
            </w:r>
            <w:r w:rsidR="00BD5FB2" w:rsidRPr="00FD73EB">
              <w:rPr>
                <w:rFonts w:ascii="Arial" w:hAnsi="Arial" w:cs="Arial"/>
                <w:b/>
                <w:sz w:val="22"/>
                <w:szCs w:val="22"/>
              </w:rPr>
              <w:t xml:space="preserve"> </w:t>
            </w:r>
            <w:r w:rsidR="0074219B" w:rsidRPr="00FD73EB">
              <w:rPr>
                <w:rFonts w:ascii="Arial" w:hAnsi="Arial" w:cs="Arial"/>
                <w:bCs/>
                <w:sz w:val="22"/>
                <w:szCs w:val="22"/>
              </w:rPr>
              <w:t xml:space="preserve">The </w:t>
            </w:r>
            <w:r w:rsidR="00701097" w:rsidRPr="00FD73EB">
              <w:rPr>
                <w:rFonts w:ascii="Arial" w:hAnsi="Arial" w:cs="Arial"/>
                <w:bCs/>
                <w:sz w:val="22"/>
                <w:szCs w:val="22"/>
              </w:rPr>
              <w:t xml:space="preserve">search for expertise to </w:t>
            </w:r>
            <w:r w:rsidR="0074219B" w:rsidRPr="00FD73EB">
              <w:rPr>
                <w:rFonts w:ascii="Arial" w:hAnsi="Arial" w:cs="Arial"/>
                <w:bCs/>
                <w:sz w:val="22"/>
                <w:szCs w:val="22"/>
              </w:rPr>
              <w:t xml:space="preserve">inform the decision to move to Victoria Hall </w:t>
            </w:r>
            <w:r w:rsidR="00701097" w:rsidRPr="00FD73EB">
              <w:rPr>
                <w:rFonts w:ascii="Arial" w:hAnsi="Arial" w:cs="Arial"/>
                <w:bCs/>
                <w:sz w:val="22"/>
                <w:szCs w:val="22"/>
              </w:rPr>
              <w:t xml:space="preserve">has </w:t>
            </w:r>
            <w:proofErr w:type="spellStart"/>
            <w:r w:rsidR="00701097" w:rsidRPr="00FD73EB">
              <w:rPr>
                <w:rFonts w:ascii="Arial" w:hAnsi="Arial" w:cs="Arial"/>
                <w:bCs/>
                <w:sz w:val="22"/>
                <w:szCs w:val="22"/>
              </w:rPr>
              <w:t>recogni</w:t>
            </w:r>
            <w:r w:rsidR="002D6941" w:rsidRPr="00FD73EB">
              <w:rPr>
                <w:rFonts w:ascii="Arial" w:hAnsi="Arial" w:cs="Arial"/>
                <w:bCs/>
                <w:sz w:val="22"/>
                <w:szCs w:val="22"/>
              </w:rPr>
              <w:t>s</w:t>
            </w:r>
            <w:r w:rsidR="00701097" w:rsidRPr="00FD73EB">
              <w:rPr>
                <w:rFonts w:ascii="Arial" w:hAnsi="Arial" w:cs="Arial"/>
                <w:bCs/>
                <w:sz w:val="22"/>
                <w:szCs w:val="22"/>
              </w:rPr>
              <w:t>ed</w:t>
            </w:r>
            <w:proofErr w:type="spellEnd"/>
            <w:r w:rsidR="00701097" w:rsidRPr="00FD73EB">
              <w:rPr>
                <w:rFonts w:ascii="Arial" w:hAnsi="Arial" w:cs="Arial"/>
                <w:bCs/>
                <w:sz w:val="22"/>
                <w:szCs w:val="22"/>
              </w:rPr>
              <w:t xml:space="preserve"> </w:t>
            </w:r>
            <w:r w:rsidR="001B4EFA" w:rsidRPr="00FD73EB">
              <w:rPr>
                <w:rFonts w:ascii="Arial" w:hAnsi="Arial" w:cs="Arial"/>
                <w:bCs/>
                <w:sz w:val="22"/>
                <w:szCs w:val="22"/>
              </w:rPr>
              <w:t>f</w:t>
            </w:r>
            <w:r w:rsidR="00BD5FB2" w:rsidRPr="00FD73EB">
              <w:rPr>
                <w:rFonts w:ascii="Arial" w:hAnsi="Arial" w:cs="Arial"/>
                <w:bCs/>
                <w:sz w:val="22"/>
                <w:szCs w:val="22"/>
              </w:rPr>
              <w:t>our</w:t>
            </w:r>
            <w:r w:rsidR="00701097" w:rsidRPr="00FD73EB">
              <w:rPr>
                <w:rFonts w:ascii="Arial" w:hAnsi="Arial" w:cs="Arial"/>
                <w:bCs/>
                <w:sz w:val="22"/>
                <w:szCs w:val="22"/>
              </w:rPr>
              <w:t xml:space="preserve"> distinct roles:</w:t>
            </w:r>
          </w:p>
          <w:p w14:paraId="37978FBD" w14:textId="77777777" w:rsidR="00701097" w:rsidRPr="00FD73EB" w:rsidRDefault="00701097" w:rsidP="00D71418">
            <w:pPr>
              <w:rPr>
                <w:rFonts w:ascii="Arial" w:hAnsi="Arial" w:cs="Arial"/>
                <w:bCs/>
                <w:sz w:val="22"/>
                <w:szCs w:val="22"/>
              </w:rPr>
            </w:pPr>
          </w:p>
          <w:p w14:paraId="2FF82C5A" w14:textId="077A9E07" w:rsidR="0074219B" w:rsidRPr="00FD73EB" w:rsidRDefault="0074219B" w:rsidP="00CD4035">
            <w:pPr>
              <w:pStyle w:val="ListParagraph"/>
              <w:numPr>
                <w:ilvl w:val="0"/>
                <w:numId w:val="2"/>
              </w:numPr>
              <w:rPr>
                <w:rFonts w:ascii="Arial" w:hAnsi="Arial" w:cs="Arial"/>
                <w:bCs/>
                <w:sz w:val="22"/>
                <w:szCs w:val="22"/>
              </w:rPr>
            </w:pPr>
            <w:r w:rsidRPr="00FD73EB">
              <w:rPr>
                <w:rFonts w:ascii="Arial" w:hAnsi="Arial" w:cs="Arial"/>
                <w:b/>
                <w:sz w:val="22"/>
                <w:szCs w:val="22"/>
              </w:rPr>
              <w:t>A Heritage Architect</w:t>
            </w:r>
            <w:r w:rsidRPr="00FD73EB">
              <w:rPr>
                <w:rFonts w:ascii="Arial" w:hAnsi="Arial" w:cs="Arial"/>
                <w:bCs/>
                <w:sz w:val="22"/>
                <w:szCs w:val="22"/>
              </w:rPr>
              <w:t xml:space="preserve"> to scope the major elements of the refurbishment, ensuring that all proposed works respect the building’s historic significance, comply with statutory protections, and integrate modern upgrades without compromising authenticity. Their advice ensures materials and techniques suit the original construction, and they liaise with councils and heritage bodies to secure necessary approvals and maintain compliance. The resulting drawings, specifications, and design will be used to obtain the necessary builders’ quotations.</w:t>
            </w:r>
            <w:r w:rsidRPr="00FD73EB">
              <w:rPr>
                <w:rFonts w:ascii="Arial" w:hAnsi="Arial" w:cs="Arial"/>
                <w:bCs/>
                <w:sz w:val="22"/>
                <w:szCs w:val="22"/>
              </w:rPr>
              <w:br/>
            </w:r>
          </w:p>
          <w:p w14:paraId="60EA8233" w14:textId="1F91BBF7" w:rsidR="00C30951" w:rsidRPr="00FD73EB" w:rsidRDefault="0080604E" w:rsidP="00CD4035">
            <w:pPr>
              <w:pStyle w:val="ListParagraph"/>
              <w:numPr>
                <w:ilvl w:val="0"/>
                <w:numId w:val="2"/>
              </w:numPr>
              <w:rPr>
                <w:rFonts w:ascii="Arial" w:hAnsi="Arial" w:cs="Arial"/>
                <w:bCs/>
                <w:sz w:val="22"/>
                <w:szCs w:val="22"/>
              </w:rPr>
            </w:pPr>
            <w:r w:rsidRPr="00FD73EB">
              <w:rPr>
                <w:rFonts w:ascii="Arial" w:hAnsi="Arial" w:cs="Arial"/>
                <w:b/>
                <w:sz w:val="22"/>
                <w:szCs w:val="22"/>
              </w:rPr>
              <w:t>A Specialist Solicitor</w:t>
            </w:r>
            <w:r w:rsidRPr="00FD73EB">
              <w:rPr>
                <w:rFonts w:ascii="Arial" w:hAnsi="Arial" w:cs="Arial"/>
                <w:bCs/>
                <w:sz w:val="22"/>
                <w:szCs w:val="22"/>
              </w:rPr>
              <w:t xml:space="preserve"> with expertise in local government, charity governance and community asset arrangements is essential. Legal advice ensures the council acts lawfully, avoids hidden risks and remains transparent and impartial. It confirms that any proposed terms of occupation are sound, fair and consistent with the council’s duties, long-term aims and the charitable objectives of the trustees. Investment will be made solely from Community Infrastructure Levy funds, with no expectation of future financial commitment from ratepayers. This protects public money while enabling the council to support a valued community asset responsibly.</w:t>
            </w:r>
            <w:r w:rsidR="00C30951" w:rsidRPr="00FD73EB">
              <w:rPr>
                <w:rFonts w:ascii="Arial" w:hAnsi="Arial" w:cs="Arial"/>
                <w:bCs/>
                <w:sz w:val="22"/>
                <w:szCs w:val="22"/>
              </w:rPr>
              <w:br/>
            </w:r>
          </w:p>
          <w:p w14:paraId="2DE936C4" w14:textId="0AC1BD89" w:rsidR="00CD5BBD" w:rsidRPr="00FD73EB" w:rsidRDefault="00CD5BBD" w:rsidP="00CD4035">
            <w:pPr>
              <w:pStyle w:val="ListParagraph"/>
              <w:numPr>
                <w:ilvl w:val="0"/>
                <w:numId w:val="2"/>
              </w:numPr>
              <w:rPr>
                <w:rFonts w:ascii="Arial" w:hAnsi="Arial" w:cs="Arial"/>
                <w:bCs/>
                <w:sz w:val="22"/>
                <w:szCs w:val="22"/>
              </w:rPr>
            </w:pPr>
            <w:r w:rsidRPr="00FD73EB">
              <w:rPr>
                <w:rFonts w:ascii="Arial" w:hAnsi="Arial" w:cs="Arial"/>
                <w:b/>
                <w:bCs/>
                <w:sz w:val="22"/>
                <w:szCs w:val="22"/>
                <w:lang w:val="en-US"/>
              </w:rPr>
              <w:t xml:space="preserve">Financial Advisory Services </w:t>
            </w:r>
            <w:r w:rsidRPr="00FD73EB">
              <w:rPr>
                <w:rFonts w:ascii="Arial" w:hAnsi="Arial" w:cs="Arial"/>
                <w:sz w:val="22"/>
                <w:szCs w:val="22"/>
                <w:lang w:val="en-US"/>
              </w:rPr>
              <w:t>to either verify the existing plan, developed with input from internal staff and Victoria Hall trustees, or to produce a new five-year Business Plan. The latter option is significantly more costly</w:t>
            </w:r>
            <w:r w:rsidR="002D6941" w:rsidRPr="00FD73EB">
              <w:rPr>
                <w:rFonts w:ascii="Arial" w:hAnsi="Arial" w:cs="Arial"/>
                <w:sz w:val="22"/>
                <w:szCs w:val="22"/>
                <w:lang w:val="en-US"/>
              </w:rPr>
              <w:t>. Further research is underway.</w:t>
            </w:r>
            <w:r w:rsidRPr="00FD73EB">
              <w:rPr>
                <w:rFonts w:ascii="Arial" w:hAnsi="Arial" w:cs="Arial"/>
                <w:b/>
                <w:bCs/>
                <w:sz w:val="22"/>
                <w:szCs w:val="22"/>
                <w:lang w:val="en-US"/>
              </w:rPr>
              <w:br/>
            </w:r>
          </w:p>
          <w:p w14:paraId="118F709F" w14:textId="2A375601" w:rsidR="0080604E" w:rsidRPr="00FD73EB" w:rsidRDefault="005F5B9D" w:rsidP="00CD4035">
            <w:pPr>
              <w:pStyle w:val="ListParagraph"/>
              <w:numPr>
                <w:ilvl w:val="0"/>
                <w:numId w:val="2"/>
              </w:numPr>
              <w:rPr>
                <w:rFonts w:ascii="Arial" w:hAnsi="Arial" w:cs="Arial"/>
                <w:bCs/>
                <w:sz w:val="22"/>
                <w:szCs w:val="22"/>
              </w:rPr>
            </w:pPr>
            <w:r w:rsidRPr="00FD73EB">
              <w:rPr>
                <w:rFonts w:ascii="Arial" w:hAnsi="Arial" w:cs="Arial"/>
                <w:b/>
                <w:bCs/>
                <w:sz w:val="22"/>
                <w:szCs w:val="22"/>
                <w:lang w:val="en-GB"/>
              </w:rPr>
              <w:t xml:space="preserve">A Grant writer to </w:t>
            </w:r>
            <w:r w:rsidRPr="00FD73EB">
              <w:rPr>
                <w:rFonts w:ascii="Arial" w:hAnsi="Arial" w:cs="Arial"/>
                <w:sz w:val="22"/>
                <w:szCs w:val="22"/>
                <w:lang w:val="en-GB"/>
              </w:rPr>
              <w:t>help secure external funding by preparing tailored, compliant applications. Payment is fixed</w:t>
            </w:r>
            <w:r w:rsidR="00CD5BBD" w:rsidRPr="00FD73EB">
              <w:rPr>
                <w:rFonts w:ascii="Arial" w:hAnsi="Arial" w:cs="Arial"/>
                <w:sz w:val="22"/>
                <w:szCs w:val="22"/>
                <w:lang w:val="en-GB"/>
              </w:rPr>
              <w:t xml:space="preserve">, </w:t>
            </w:r>
            <w:r w:rsidRPr="00FD73EB">
              <w:rPr>
                <w:rFonts w:ascii="Arial" w:hAnsi="Arial" w:cs="Arial"/>
                <w:sz w:val="22"/>
                <w:szCs w:val="22"/>
                <w:lang w:val="en-GB"/>
              </w:rPr>
              <w:t xml:space="preserve">never a percentage of the grant. </w:t>
            </w:r>
            <w:r w:rsidRPr="00FD73EB">
              <w:rPr>
                <w:rFonts w:ascii="Arial" w:hAnsi="Arial" w:cs="Arial"/>
                <w:bCs/>
                <w:sz w:val="22"/>
                <w:szCs w:val="22"/>
                <w:lang w:val="en-GB"/>
              </w:rPr>
              <w:t>They research opportunities, draft bids, and manage deadlines. Typical fees: £500–£2,000 per bid or £35–£75/hour.</w:t>
            </w:r>
            <w:r w:rsidR="002D6941" w:rsidRPr="00FD73EB">
              <w:rPr>
                <w:rFonts w:ascii="Arial" w:hAnsi="Arial" w:cs="Arial"/>
                <w:bCs/>
                <w:sz w:val="22"/>
                <w:szCs w:val="22"/>
                <w:lang w:val="en-GB"/>
              </w:rPr>
              <w:t xml:space="preserve"> Further research is in-hand</w:t>
            </w:r>
          </w:p>
        </w:tc>
      </w:tr>
      <w:tr w:rsidR="0099369F" w14:paraId="1392BBB9" w14:textId="77777777" w:rsidTr="009834B8">
        <w:tc>
          <w:tcPr>
            <w:tcW w:w="9351" w:type="dxa"/>
            <w:gridSpan w:val="2"/>
            <w:tcBorders>
              <w:top w:val="single" w:sz="4" w:space="0" w:color="auto"/>
              <w:bottom w:val="single" w:sz="4" w:space="0" w:color="auto"/>
            </w:tcBorders>
          </w:tcPr>
          <w:p w14:paraId="60239BCE" w14:textId="0A3DA725" w:rsidR="002D6941" w:rsidRPr="002D6941" w:rsidRDefault="0099369F" w:rsidP="002D6941">
            <w:pPr>
              <w:rPr>
                <w:rFonts w:ascii="Arial" w:hAnsi="Arial" w:cs="Arial"/>
                <w:sz w:val="22"/>
                <w:szCs w:val="22"/>
              </w:rPr>
            </w:pPr>
            <w:r w:rsidRPr="00EB53AB">
              <w:rPr>
                <w:rFonts w:ascii="Arial" w:hAnsi="Arial" w:cs="Arial"/>
                <w:b/>
                <w:sz w:val="22"/>
                <w:szCs w:val="22"/>
              </w:rPr>
              <w:t>Proposal:</w:t>
            </w:r>
            <w:r w:rsidR="005F5B9D">
              <w:rPr>
                <w:rFonts w:ascii="Arial" w:hAnsi="Arial" w:cs="Arial"/>
                <w:b/>
              </w:rPr>
              <w:br/>
            </w:r>
            <w:r w:rsidR="002D6941" w:rsidRPr="005F6ACF">
              <w:rPr>
                <w:rFonts w:ascii="Arial" w:hAnsi="Arial" w:cs="Arial"/>
                <w:b/>
                <w:bCs/>
                <w:sz w:val="22"/>
                <w:szCs w:val="22"/>
              </w:rPr>
              <w:t>1.</w:t>
            </w:r>
            <w:r w:rsidR="002D6941" w:rsidRPr="002D6941">
              <w:rPr>
                <w:rFonts w:ascii="Arial" w:hAnsi="Arial" w:cs="Arial"/>
                <w:sz w:val="22"/>
                <w:szCs w:val="22"/>
              </w:rPr>
              <w:t xml:space="preserve"> To approve the appointment of a Heritage Architect to prepare drawings, specifications, and design work, essential for obtaining builders’ quotations. Subject to approval,</w:t>
            </w:r>
            <w:r w:rsidR="00C91626">
              <w:rPr>
                <w:rFonts w:ascii="Arial" w:hAnsi="Arial" w:cs="Arial"/>
                <w:sz w:val="22"/>
                <w:szCs w:val="22"/>
              </w:rPr>
              <w:t xml:space="preserve"> </w:t>
            </w:r>
            <w:r w:rsidR="002D6941" w:rsidRPr="002D6941">
              <w:rPr>
                <w:rFonts w:ascii="Arial" w:hAnsi="Arial" w:cs="Arial"/>
                <w:sz w:val="22"/>
                <w:szCs w:val="22"/>
              </w:rPr>
              <w:t>builders quotations will be brought to the December council meeting. The following firms have submitted quotes for the role of Heritage Architect:</w:t>
            </w:r>
          </w:p>
          <w:p w14:paraId="511D25A5" w14:textId="63077C82" w:rsidR="002D6941" w:rsidRPr="002D6941" w:rsidRDefault="002D6941" w:rsidP="002D6941">
            <w:pPr>
              <w:ind w:left="720"/>
              <w:rPr>
                <w:rFonts w:ascii="Arial" w:hAnsi="Arial" w:cs="Arial"/>
                <w:sz w:val="22"/>
                <w:szCs w:val="22"/>
              </w:rPr>
            </w:pPr>
            <w:r w:rsidRPr="002D6941">
              <w:rPr>
                <w:rFonts w:ascii="Arial" w:hAnsi="Arial" w:cs="Arial"/>
                <w:sz w:val="22"/>
                <w:szCs w:val="22"/>
              </w:rPr>
              <w:br/>
              <w:t xml:space="preserve">• </w:t>
            </w:r>
            <w:r w:rsidR="005B425B">
              <w:rPr>
                <w:rFonts w:ascii="Arial" w:hAnsi="Arial" w:cs="Arial"/>
                <w:sz w:val="22"/>
                <w:szCs w:val="22"/>
              </w:rPr>
              <w:t xml:space="preserve">Kingsmead Design - </w:t>
            </w:r>
            <w:r w:rsidRPr="002D6941">
              <w:rPr>
                <w:rFonts w:ascii="Arial" w:hAnsi="Arial" w:cs="Arial"/>
                <w:sz w:val="22"/>
                <w:szCs w:val="22"/>
              </w:rPr>
              <w:t>Clarks Construction</w:t>
            </w:r>
            <w:r w:rsidRPr="002D6941">
              <w:rPr>
                <w:rFonts w:ascii="Arial" w:hAnsi="Arial" w:cs="Arial"/>
                <w:sz w:val="22"/>
                <w:szCs w:val="22"/>
              </w:rPr>
              <w:br/>
              <w:t>• A J Mills Master Masons Limited</w:t>
            </w:r>
            <w:r w:rsidRPr="002D6941">
              <w:rPr>
                <w:rFonts w:ascii="Arial" w:hAnsi="Arial" w:cs="Arial"/>
                <w:sz w:val="22"/>
                <w:szCs w:val="22"/>
              </w:rPr>
              <w:br/>
              <w:t xml:space="preserve">• </w:t>
            </w:r>
            <w:proofErr w:type="spellStart"/>
            <w:r w:rsidRPr="002D6941">
              <w:rPr>
                <w:rFonts w:ascii="Arial" w:hAnsi="Arial" w:cs="Arial"/>
                <w:sz w:val="22"/>
                <w:szCs w:val="22"/>
              </w:rPr>
              <w:t>Eddisons</w:t>
            </w:r>
            <w:proofErr w:type="spellEnd"/>
          </w:p>
          <w:p w14:paraId="14120D3E" w14:textId="135EDB39" w:rsidR="00977490" w:rsidRPr="00BD5FB2" w:rsidRDefault="005F6ACF" w:rsidP="00CD5BBD">
            <w:pPr>
              <w:rPr>
                <w:rFonts w:ascii="Arial" w:hAnsi="Arial" w:cs="Arial"/>
                <w:sz w:val="22"/>
                <w:szCs w:val="22"/>
                <w:lang w:val="en-GB"/>
              </w:rPr>
            </w:pPr>
            <w:r w:rsidRPr="005F6ACF">
              <w:rPr>
                <w:rFonts w:ascii="Arial" w:hAnsi="Arial" w:cs="Arial"/>
                <w:b/>
                <w:bCs/>
                <w:sz w:val="22"/>
                <w:szCs w:val="22"/>
              </w:rPr>
              <w:t>2.</w:t>
            </w:r>
            <w:r>
              <w:rPr>
                <w:rFonts w:ascii="Arial" w:hAnsi="Arial" w:cs="Arial"/>
                <w:sz w:val="22"/>
                <w:szCs w:val="22"/>
              </w:rPr>
              <w:t xml:space="preserve"> </w:t>
            </w:r>
            <w:r w:rsidRPr="005F6ACF">
              <w:rPr>
                <w:rFonts w:ascii="Arial" w:hAnsi="Arial" w:cs="Arial"/>
                <w:sz w:val="22"/>
                <w:szCs w:val="22"/>
              </w:rPr>
              <w:t xml:space="preserve">Council notes that builders’ quotations and proposals for a Bid Writer, Specialist Solicitor, and five-year Business Plan will be </w:t>
            </w:r>
            <w:r>
              <w:rPr>
                <w:rFonts w:ascii="Arial" w:hAnsi="Arial" w:cs="Arial"/>
                <w:sz w:val="22"/>
                <w:szCs w:val="22"/>
              </w:rPr>
              <w:t xml:space="preserve">brought forward for </w:t>
            </w:r>
            <w:r w:rsidRPr="005F6ACF">
              <w:rPr>
                <w:rFonts w:ascii="Arial" w:hAnsi="Arial" w:cs="Arial"/>
                <w:sz w:val="22"/>
                <w:szCs w:val="22"/>
              </w:rPr>
              <w:t>consid</w:t>
            </w:r>
            <w:r w:rsidR="005B425B">
              <w:rPr>
                <w:rFonts w:ascii="Arial" w:hAnsi="Arial" w:cs="Arial"/>
                <w:sz w:val="22"/>
                <w:szCs w:val="22"/>
              </w:rPr>
              <w:t>er</w:t>
            </w:r>
            <w:r>
              <w:rPr>
                <w:rFonts w:ascii="Arial" w:hAnsi="Arial" w:cs="Arial"/>
                <w:sz w:val="22"/>
                <w:szCs w:val="22"/>
              </w:rPr>
              <w:t>ation</w:t>
            </w:r>
            <w:r w:rsidRPr="005F6ACF">
              <w:rPr>
                <w:rFonts w:ascii="Arial" w:hAnsi="Arial" w:cs="Arial"/>
                <w:sz w:val="22"/>
                <w:szCs w:val="22"/>
              </w:rPr>
              <w:t xml:space="preserve"> at the December Full Council meeting; the Specialist Solicitor role has limited qualified providers, and one firm has expressed interest, with a proposal and quotation due by 14th November.</w:t>
            </w: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1125A3E"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42CADBC1"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bookmarkEnd w:id="0"/>
    </w:tbl>
    <w:p w14:paraId="69818451" w14:textId="77777777" w:rsidR="00C91626" w:rsidRDefault="00C91626" w:rsidP="0055393D">
      <w:pPr>
        <w:rPr>
          <w:rFonts w:ascii="Arial" w:hAnsi="Arial" w:cs="Arial"/>
          <w:bCs/>
        </w:rPr>
      </w:pPr>
    </w:p>
    <w:sectPr w:rsidR="00C91626"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6F9C" w14:textId="77777777" w:rsidR="00992DFF" w:rsidRDefault="00992DFF" w:rsidP="005E6E50">
      <w:r>
        <w:separator/>
      </w:r>
    </w:p>
  </w:endnote>
  <w:endnote w:type="continuationSeparator" w:id="0">
    <w:p w14:paraId="5B96713B" w14:textId="77777777" w:rsidR="00992DFF" w:rsidRDefault="00992DFF"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9313" w14:textId="77777777" w:rsidR="00992DFF" w:rsidRDefault="00992DFF" w:rsidP="005E6E50">
      <w:r>
        <w:separator/>
      </w:r>
    </w:p>
  </w:footnote>
  <w:footnote w:type="continuationSeparator" w:id="0">
    <w:p w14:paraId="2B169EFA" w14:textId="77777777" w:rsidR="00992DFF" w:rsidRDefault="00992DFF"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B85A8E"/>
    <w:multiLevelType w:val="hybridMultilevel"/>
    <w:tmpl w:val="7408B580"/>
    <w:lvl w:ilvl="0" w:tplc="3D680F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75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041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04D8B"/>
    <w:rsid w:val="000129FC"/>
    <w:rsid w:val="00012FA8"/>
    <w:rsid w:val="000139F8"/>
    <w:rsid w:val="000467E0"/>
    <w:rsid w:val="00053541"/>
    <w:rsid w:val="00055ED0"/>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5151D"/>
    <w:rsid w:val="0016042F"/>
    <w:rsid w:val="00166A27"/>
    <w:rsid w:val="0018478B"/>
    <w:rsid w:val="00186519"/>
    <w:rsid w:val="001879AD"/>
    <w:rsid w:val="00191A6A"/>
    <w:rsid w:val="00194A2B"/>
    <w:rsid w:val="001A4C7F"/>
    <w:rsid w:val="001A7D29"/>
    <w:rsid w:val="001B4EF1"/>
    <w:rsid w:val="001B4EFA"/>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2437"/>
    <w:rsid w:val="002737F7"/>
    <w:rsid w:val="00292D2F"/>
    <w:rsid w:val="002A2957"/>
    <w:rsid w:val="002A46D2"/>
    <w:rsid w:val="002B0C09"/>
    <w:rsid w:val="002B769A"/>
    <w:rsid w:val="002C6AC3"/>
    <w:rsid w:val="002D0113"/>
    <w:rsid w:val="002D6941"/>
    <w:rsid w:val="002E1B96"/>
    <w:rsid w:val="002F1555"/>
    <w:rsid w:val="002F4A29"/>
    <w:rsid w:val="00304AD4"/>
    <w:rsid w:val="00304EBA"/>
    <w:rsid w:val="0030531D"/>
    <w:rsid w:val="0031300F"/>
    <w:rsid w:val="00315153"/>
    <w:rsid w:val="00317704"/>
    <w:rsid w:val="003229AD"/>
    <w:rsid w:val="003400C5"/>
    <w:rsid w:val="003446BF"/>
    <w:rsid w:val="003658A7"/>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25B"/>
    <w:rsid w:val="005B48A5"/>
    <w:rsid w:val="005B6B18"/>
    <w:rsid w:val="005C46E9"/>
    <w:rsid w:val="005C63BF"/>
    <w:rsid w:val="005C7E60"/>
    <w:rsid w:val="005D46CE"/>
    <w:rsid w:val="005D5D27"/>
    <w:rsid w:val="005E2233"/>
    <w:rsid w:val="005E6E50"/>
    <w:rsid w:val="005F5B9D"/>
    <w:rsid w:val="005F6ACF"/>
    <w:rsid w:val="005F7B52"/>
    <w:rsid w:val="00610F50"/>
    <w:rsid w:val="006135AB"/>
    <w:rsid w:val="00614430"/>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83748"/>
    <w:rsid w:val="00693068"/>
    <w:rsid w:val="006A0F46"/>
    <w:rsid w:val="006B5EF9"/>
    <w:rsid w:val="006B6D57"/>
    <w:rsid w:val="006C1A52"/>
    <w:rsid w:val="006D0D2E"/>
    <w:rsid w:val="006D5AA4"/>
    <w:rsid w:val="006E0DF2"/>
    <w:rsid w:val="006E6C50"/>
    <w:rsid w:val="006F22BC"/>
    <w:rsid w:val="006F4CAD"/>
    <w:rsid w:val="006F59C8"/>
    <w:rsid w:val="00701097"/>
    <w:rsid w:val="00702E05"/>
    <w:rsid w:val="007101D3"/>
    <w:rsid w:val="00711A49"/>
    <w:rsid w:val="007155F3"/>
    <w:rsid w:val="00717AF4"/>
    <w:rsid w:val="00720EF0"/>
    <w:rsid w:val="00731316"/>
    <w:rsid w:val="00731A0E"/>
    <w:rsid w:val="0074219B"/>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528F"/>
    <w:rsid w:val="007E7A35"/>
    <w:rsid w:val="007F50C9"/>
    <w:rsid w:val="00800E88"/>
    <w:rsid w:val="0080604E"/>
    <w:rsid w:val="008079A5"/>
    <w:rsid w:val="00815AC3"/>
    <w:rsid w:val="00817590"/>
    <w:rsid w:val="00823F31"/>
    <w:rsid w:val="00854097"/>
    <w:rsid w:val="00860781"/>
    <w:rsid w:val="00860F21"/>
    <w:rsid w:val="00866BC0"/>
    <w:rsid w:val="008709FD"/>
    <w:rsid w:val="00872181"/>
    <w:rsid w:val="00881D20"/>
    <w:rsid w:val="00893030"/>
    <w:rsid w:val="00894BEE"/>
    <w:rsid w:val="00895111"/>
    <w:rsid w:val="008A2F35"/>
    <w:rsid w:val="008A4B92"/>
    <w:rsid w:val="008C22A3"/>
    <w:rsid w:val="008C2845"/>
    <w:rsid w:val="008D0DF2"/>
    <w:rsid w:val="008D474A"/>
    <w:rsid w:val="008D7A22"/>
    <w:rsid w:val="008E30DD"/>
    <w:rsid w:val="008F071F"/>
    <w:rsid w:val="008F0FB7"/>
    <w:rsid w:val="008F40B9"/>
    <w:rsid w:val="0090233B"/>
    <w:rsid w:val="009031D7"/>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2DFF"/>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A3868"/>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C7F"/>
    <w:rsid w:val="00BA7227"/>
    <w:rsid w:val="00BB355D"/>
    <w:rsid w:val="00BC7A38"/>
    <w:rsid w:val="00BD5FB2"/>
    <w:rsid w:val="00BD62C0"/>
    <w:rsid w:val="00BD75F8"/>
    <w:rsid w:val="00BD7896"/>
    <w:rsid w:val="00BF133A"/>
    <w:rsid w:val="00BF6D64"/>
    <w:rsid w:val="00BF7EE1"/>
    <w:rsid w:val="00C01E4B"/>
    <w:rsid w:val="00C12CC8"/>
    <w:rsid w:val="00C30951"/>
    <w:rsid w:val="00C30C23"/>
    <w:rsid w:val="00C3628E"/>
    <w:rsid w:val="00C40974"/>
    <w:rsid w:val="00C410C5"/>
    <w:rsid w:val="00C469EE"/>
    <w:rsid w:val="00C51944"/>
    <w:rsid w:val="00C562D6"/>
    <w:rsid w:val="00C670B5"/>
    <w:rsid w:val="00C901E8"/>
    <w:rsid w:val="00C91626"/>
    <w:rsid w:val="00CA08F5"/>
    <w:rsid w:val="00CA1ACD"/>
    <w:rsid w:val="00CA44ED"/>
    <w:rsid w:val="00CB2546"/>
    <w:rsid w:val="00CB2B57"/>
    <w:rsid w:val="00CB4248"/>
    <w:rsid w:val="00CD4035"/>
    <w:rsid w:val="00CD519B"/>
    <w:rsid w:val="00CD5BBD"/>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07527"/>
    <w:rsid w:val="00E117A0"/>
    <w:rsid w:val="00E17210"/>
    <w:rsid w:val="00E23847"/>
    <w:rsid w:val="00E279D3"/>
    <w:rsid w:val="00E372EC"/>
    <w:rsid w:val="00E558E7"/>
    <w:rsid w:val="00E616E0"/>
    <w:rsid w:val="00E712FC"/>
    <w:rsid w:val="00E82E24"/>
    <w:rsid w:val="00E8349F"/>
    <w:rsid w:val="00E91C0C"/>
    <w:rsid w:val="00EB53AB"/>
    <w:rsid w:val="00EB7A50"/>
    <w:rsid w:val="00EC68B3"/>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D73EB"/>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 w:type="paragraph" w:customStyle="1" w:styleId="Default">
    <w:name w:val="Default"/>
    <w:rsid w:val="001B4EFA"/>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00CDE-F346-47DB-8A92-1CE5C9D4A0FE}">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D4D61356-95FA-4868-8136-52A12BCF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4CF14-D315-4B7F-B0FE-736E6893E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2727</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Paul</cp:lastModifiedBy>
  <cp:revision>5</cp:revision>
  <cp:lastPrinted>2024-06-20T14:01:00Z</cp:lastPrinted>
  <dcterms:created xsi:type="dcterms:W3CDTF">2025-11-06T15:41:00Z</dcterms:created>
  <dcterms:modified xsi:type="dcterms:W3CDTF">2025-11-07T23:55:00Z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