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2C79878F"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085648">
              <w:rPr>
                <w:rFonts w:ascii="Arial" w:hAnsi="Arial" w:cs="Arial"/>
                <w:b/>
              </w:rPr>
              <w:t>1</w:t>
            </w:r>
            <w:r w:rsidR="000A49C3">
              <w:rPr>
                <w:rFonts w:ascii="Arial" w:hAnsi="Arial" w:cs="Arial"/>
                <w:b/>
              </w:rPr>
              <w:t>4</w:t>
            </w:r>
          </w:p>
        </w:tc>
      </w:tr>
      <w:tr w:rsidR="00E8349F" w14:paraId="47091A02" w14:textId="77777777" w:rsidTr="001E1ECC">
        <w:tc>
          <w:tcPr>
            <w:tcW w:w="4815" w:type="dxa"/>
            <w:tcBorders>
              <w:bottom w:val="single" w:sz="4" w:space="0" w:color="auto"/>
            </w:tcBorders>
          </w:tcPr>
          <w:p w14:paraId="401DF4F2" w14:textId="7D44774D"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E1B96" w:rsidRPr="002E1B96">
              <w:rPr>
                <w:rFonts w:ascii="Arial" w:hAnsi="Arial" w:cs="Arial"/>
                <w:bCs/>
              </w:rPr>
              <w:t>12 November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1D42138C"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 &amp; Town Clerk</w:t>
            </w:r>
          </w:p>
        </w:tc>
        <w:tc>
          <w:tcPr>
            <w:tcW w:w="4536" w:type="dxa"/>
            <w:tcBorders>
              <w:top w:val="single" w:sz="4" w:space="0" w:color="auto"/>
              <w:bottom w:val="single" w:sz="4" w:space="0" w:color="auto"/>
            </w:tcBorders>
          </w:tcPr>
          <w:p w14:paraId="64906631" w14:textId="0B46658E" w:rsidR="00610F50" w:rsidRPr="002E1B96" w:rsidRDefault="005711C8" w:rsidP="00E8349F">
            <w:pPr>
              <w:rPr>
                <w:rFonts w:ascii="Arial" w:hAnsi="Arial" w:cs="Arial"/>
                <w:strike/>
              </w:rPr>
            </w:pPr>
            <w:r>
              <w:rPr>
                <w:rFonts w:ascii="Arial" w:hAnsi="Arial" w:cs="Arial"/>
                <w:b/>
              </w:rPr>
              <w:t xml:space="preserve">Purpose: </w:t>
            </w:r>
            <w:r w:rsidRPr="00437E91">
              <w:rPr>
                <w:rFonts w:ascii="Arial" w:hAnsi="Arial" w:cs="Arial"/>
                <w:sz w:val="22"/>
                <w:szCs w:val="22"/>
              </w:rPr>
              <w:t xml:space="preserve">Decision </w:t>
            </w:r>
            <w:r w:rsidRPr="002E1B96">
              <w:rPr>
                <w:rFonts w:ascii="Arial" w:hAnsi="Arial" w:cs="Arial"/>
                <w:strike/>
                <w:sz w:val="22"/>
                <w:szCs w:val="22"/>
              </w:rPr>
              <w:t>/ 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02608B11"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2E1B96" w:rsidRPr="002E1B96">
              <w:rPr>
                <w:rFonts w:ascii="Arial" w:hAnsi="Arial" w:cs="Arial"/>
                <w:lang w:val="en-GB"/>
              </w:rPr>
              <w:t>Proposal to Full Council: Continuation of Hopper Bus Funding</w:t>
            </w:r>
          </w:p>
        </w:tc>
      </w:tr>
      <w:tr w:rsidR="00E8349F" w14:paraId="46E0336B" w14:textId="77777777" w:rsidTr="009834B8">
        <w:tc>
          <w:tcPr>
            <w:tcW w:w="9351" w:type="dxa"/>
            <w:gridSpan w:val="2"/>
            <w:tcBorders>
              <w:top w:val="single" w:sz="4" w:space="0" w:color="auto"/>
              <w:bottom w:val="single" w:sz="4" w:space="0" w:color="auto"/>
            </w:tcBorders>
          </w:tcPr>
          <w:p w14:paraId="6F429FF4" w14:textId="035629FF" w:rsidR="003B5EE7" w:rsidRDefault="005711C8" w:rsidP="00D71418">
            <w:pPr>
              <w:rPr>
                <w:rFonts w:ascii="Arial" w:hAnsi="Arial" w:cs="Arial"/>
                <w:b/>
              </w:rPr>
            </w:pPr>
            <w:r>
              <w:rPr>
                <w:rFonts w:ascii="Arial" w:hAnsi="Arial" w:cs="Arial"/>
                <w:b/>
              </w:rPr>
              <w:t>Background</w:t>
            </w:r>
            <w:r w:rsidR="000D0070">
              <w:rPr>
                <w:rFonts w:ascii="Arial" w:hAnsi="Arial" w:cs="Arial"/>
                <w:b/>
              </w:rPr>
              <w:t>:</w:t>
            </w:r>
            <w:r w:rsidR="00084EF6">
              <w:rPr>
                <w:rFonts w:ascii="Arial" w:hAnsi="Arial" w:cs="Arial"/>
                <w:b/>
              </w:rPr>
              <w:br/>
            </w:r>
          </w:p>
          <w:p w14:paraId="6E13A3B3" w14:textId="225E8C1E" w:rsidR="00084EF6" w:rsidRPr="00084EF6" w:rsidRDefault="00084EF6" w:rsidP="00084EF6">
            <w:pPr>
              <w:rPr>
                <w:rFonts w:ascii="Arial" w:hAnsi="Arial" w:cs="Arial"/>
                <w:bCs/>
                <w:lang w:val="en-GB"/>
              </w:rPr>
            </w:pPr>
            <w:r w:rsidRPr="00084EF6">
              <w:rPr>
                <w:rFonts w:ascii="Arial" w:hAnsi="Arial" w:cs="Arial"/>
                <w:bCs/>
                <w:lang w:val="en-GB"/>
              </w:rPr>
              <w:t>Oakham Town Council is asked to approve continued funding of the free Hopper Bus service at £29,000. This reflects a £2,000 increase from last year, in line with rising costs across staffing, insurance, and maintenance. Although the fleet is now electric, operating costs remain sensitive to inflation. Rutland County Council contributes more than our allocation, demonstrating shared commitment. The Hopper delivers strong value in three areas:</w:t>
            </w:r>
            <w:r>
              <w:rPr>
                <w:rFonts w:ascii="Arial" w:hAnsi="Arial" w:cs="Arial"/>
                <w:bCs/>
                <w:lang w:val="en-GB"/>
              </w:rPr>
              <w:br/>
            </w:r>
          </w:p>
          <w:p w14:paraId="027C09B6" w14:textId="08BE9F4D" w:rsidR="00084EF6" w:rsidRPr="00084EF6" w:rsidRDefault="00084EF6" w:rsidP="00084EF6">
            <w:pPr>
              <w:rPr>
                <w:rFonts w:ascii="Arial" w:hAnsi="Arial" w:cs="Arial"/>
                <w:bCs/>
                <w:lang w:val="en-GB"/>
              </w:rPr>
            </w:pPr>
            <w:r w:rsidRPr="00084EF6">
              <w:rPr>
                <w:rFonts w:ascii="Arial" w:hAnsi="Arial" w:cs="Arial"/>
                <w:b/>
                <w:lang w:val="en-GB"/>
              </w:rPr>
              <w:t>1. Accessibility and Inclusion</w:t>
            </w:r>
            <w:r w:rsidRPr="00084EF6">
              <w:rPr>
                <w:rFonts w:ascii="Arial" w:hAnsi="Arial" w:cs="Arial"/>
                <w:bCs/>
                <w:lang w:val="en-GB"/>
              </w:rPr>
              <w:br/>
              <w:t>Supports older residents, disabled people, and those without private transport. Connects neighbourhoods to shops and services, reduces isolation, and helps meet legal duties to ensure fair and accessible services.</w:t>
            </w:r>
            <w:r>
              <w:rPr>
                <w:rFonts w:ascii="Arial" w:hAnsi="Arial" w:cs="Arial"/>
                <w:bCs/>
                <w:lang w:val="en-GB"/>
              </w:rPr>
              <w:br/>
            </w:r>
          </w:p>
          <w:p w14:paraId="6B8D2C02" w14:textId="13F200FA" w:rsidR="00084EF6" w:rsidRPr="00084EF6" w:rsidRDefault="00084EF6" w:rsidP="00084EF6">
            <w:pPr>
              <w:rPr>
                <w:rFonts w:ascii="Arial" w:hAnsi="Arial" w:cs="Arial"/>
                <w:bCs/>
                <w:lang w:val="en-GB"/>
              </w:rPr>
            </w:pPr>
            <w:r w:rsidRPr="00084EF6">
              <w:rPr>
                <w:rFonts w:ascii="Arial" w:hAnsi="Arial" w:cs="Arial"/>
                <w:b/>
                <w:lang w:val="en-GB"/>
              </w:rPr>
              <w:t>2. Promoting Local Attractions</w:t>
            </w:r>
            <w:r w:rsidRPr="00084EF6">
              <w:rPr>
                <w:rFonts w:ascii="Arial" w:hAnsi="Arial" w:cs="Arial"/>
                <w:b/>
                <w:lang w:val="en-GB"/>
              </w:rPr>
              <w:br/>
            </w:r>
            <w:r w:rsidRPr="00084EF6">
              <w:rPr>
                <w:rFonts w:ascii="Arial" w:hAnsi="Arial" w:cs="Arial"/>
                <w:bCs/>
                <w:lang w:val="en-GB"/>
              </w:rPr>
              <w:t>Afternoon usage is low. A revised timetable is being negotiated with Rutland County Council (agreement in principle) to free up capacity for promotional circuits to destinations such as Rutland Hall.</w:t>
            </w:r>
            <w:r>
              <w:rPr>
                <w:rFonts w:ascii="Arial" w:hAnsi="Arial" w:cs="Arial"/>
                <w:bCs/>
                <w:lang w:val="en-GB"/>
              </w:rPr>
              <w:br/>
            </w:r>
          </w:p>
          <w:p w14:paraId="21DE3EF8" w14:textId="2FD8C1AD" w:rsidR="00084EF6" w:rsidRPr="00084EF6" w:rsidRDefault="00084EF6" w:rsidP="00084EF6">
            <w:pPr>
              <w:rPr>
                <w:rFonts w:ascii="Arial" w:hAnsi="Arial" w:cs="Arial"/>
                <w:bCs/>
                <w:lang w:val="en-GB"/>
              </w:rPr>
            </w:pPr>
            <w:r w:rsidRPr="00084EF6">
              <w:rPr>
                <w:rFonts w:ascii="Arial" w:hAnsi="Arial" w:cs="Arial"/>
                <w:b/>
                <w:lang w:val="en-GB"/>
              </w:rPr>
              <w:t>3. Supporting Town Events</w:t>
            </w:r>
            <w:r w:rsidRPr="00084EF6">
              <w:rPr>
                <w:rFonts w:ascii="Arial" w:hAnsi="Arial" w:cs="Arial"/>
                <w:b/>
                <w:lang w:val="en-GB"/>
              </w:rPr>
              <w:br/>
            </w:r>
            <w:r w:rsidR="00CD499B" w:rsidRPr="00CD499B">
              <w:rPr>
                <w:rFonts w:ascii="Arial" w:hAnsi="Arial" w:cs="Arial"/>
                <w:bCs/>
              </w:rPr>
              <w:t>Weekend use is also under negotiation (agreement in principle). The Hopper could support events like the Christmas light switch-</w:t>
            </w:r>
            <w:proofErr w:type="gramStart"/>
            <w:r w:rsidR="00CD499B" w:rsidRPr="00CD499B">
              <w:rPr>
                <w:rFonts w:ascii="Arial" w:hAnsi="Arial" w:cs="Arial"/>
                <w:bCs/>
              </w:rPr>
              <w:t>on</w:t>
            </w:r>
            <w:proofErr w:type="gramEnd"/>
            <w:r w:rsidR="00CD499B" w:rsidRPr="00CD499B">
              <w:rPr>
                <w:rFonts w:ascii="Arial" w:hAnsi="Arial" w:cs="Arial"/>
                <w:bCs/>
              </w:rPr>
              <w:t xml:space="preserve"> and </w:t>
            </w:r>
            <w:proofErr w:type="spellStart"/>
            <w:r w:rsidR="00CD499B" w:rsidRPr="00CD499B">
              <w:rPr>
                <w:rFonts w:ascii="Arial" w:hAnsi="Arial" w:cs="Arial"/>
                <w:bCs/>
              </w:rPr>
              <w:t>CiCLE</w:t>
            </w:r>
            <w:proofErr w:type="spellEnd"/>
            <w:r w:rsidR="00CD499B" w:rsidRPr="00CD499B">
              <w:rPr>
                <w:rFonts w:ascii="Arial" w:hAnsi="Arial" w:cs="Arial"/>
                <w:bCs/>
              </w:rPr>
              <w:t xml:space="preserve"> Classic at around £30 per hour. These costs are not included in the £29,000 service budget and should be met </w:t>
            </w:r>
            <w:proofErr w:type="gramStart"/>
            <w:r w:rsidR="00CD499B" w:rsidRPr="00CD499B">
              <w:rPr>
                <w:rFonts w:ascii="Arial" w:hAnsi="Arial" w:cs="Arial"/>
                <w:bCs/>
              </w:rPr>
              <w:t>from</w:t>
            </w:r>
            <w:proofErr w:type="gramEnd"/>
            <w:r w:rsidR="00CD499B" w:rsidRPr="00CD499B">
              <w:rPr>
                <w:rFonts w:ascii="Arial" w:hAnsi="Arial" w:cs="Arial"/>
                <w:bCs/>
              </w:rPr>
              <w:t xml:space="preserve"> individual event budgets.</w:t>
            </w:r>
            <w:r>
              <w:rPr>
                <w:rFonts w:ascii="Arial" w:hAnsi="Arial" w:cs="Arial"/>
                <w:bCs/>
                <w:lang w:val="en-GB"/>
              </w:rPr>
              <w:br/>
            </w:r>
          </w:p>
          <w:p w14:paraId="118F709F" w14:textId="41E5B367" w:rsidR="00C3628E" w:rsidRPr="00084EF6" w:rsidRDefault="00084EF6" w:rsidP="002E1B96">
            <w:pPr>
              <w:rPr>
                <w:rFonts w:ascii="Arial" w:hAnsi="Arial" w:cs="Arial"/>
                <w:bCs/>
                <w:lang w:val="en-GB"/>
              </w:rPr>
            </w:pPr>
            <w:r w:rsidRPr="00084EF6">
              <w:rPr>
                <w:rFonts w:ascii="Arial" w:hAnsi="Arial" w:cs="Arial"/>
                <w:bCs/>
                <w:lang w:val="en-GB"/>
              </w:rPr>
              <w:t>The 7.4% cost increase reflects sector-specific pressures. A commitment to annual review will ensure continued value for money and responsiveness to community needs.</w:t>
            </w:r>
          </w:p>
        </w:tc>
      </w:tr>
      <w:tr w:rsidR="0099369F" w14:paraId="1392BBB9" w14:textId="77777777" w:rsidTr="009834B8">
        <w:tc>
          <w:tcPr>
            <w:tcW w:w="9351" w:type="dxa"/>
            <w:gridSpan w:val="2"/>
            <w:tcBorders>
              <w:top w:val="single" w:sz="4" w:space="0" w:color="auto"/>
              <w:bottom w:val="single" w:sz="4" w:space="0" w:color="auto"/>
            </w:tcBorders>
          </w:tcPr>
          <w:p w14:paraId="32A1AC35" w14:textId="62BCE21A" w:rsidR="003B5EE7" w:rsidRDefault="0099369F" w:rsidP="00525283">
            <w:pPr>
              <w:rPr>
                <w:rFonts w:ascii="Arial" w:hAnsi="Arial" w:cs="Arial"/>
                <w:b/>
              </w:rPr>
            </w:pPr>
            <w:r w:rsidRPr="00525283">
              <w:rPr>
                <w:rFonts w:ascii="Arial" w:hAnsi="Arial" w:cs="Arial"/>
                <w:b/>
              </w:rPr>
              <w:t>Proposal:</w:t>
            </w:r>
            <w:r w:rsidR="00084EF6">
              <w:rPr>
                <w:rFonts w:ascii="Arial" w:hAnsi="Arial" w:cs="Arial"/>
                <w:b/>
              </w:rPr>
              <w:br/>
            </w:r>
          </w:p>
          <w:p w14:paraId="14120D3E" w14:textId="2633D4F9" w:rsidR="00977490" w:rsidRPr="00084EF6" w:rsidRDefault="00084EF6" w:rsidP="000A49C3">
            <w:pPr>
              <w:pStyle w:val="ListParagraph"/>
              <w:numPr>
                <w:ilvl w:val="0"/>
                <w:numId w:val="2"/>
              </w:numPr>
              <w:rPr>
                <w:rFonts w:ascii="Arial" w:hAnsi="Arial" w:cs="Arial"/>
                <w:bCs/>
              </w:rPr>
            </w:pPr>
            <w:r w:rsidRPr="00084EF6">
              <w:rPr>
                <w:rFonts w:ascii="Arial" w:hAnsi="Arial" w:cs="Arial"/>
                <w:bCs/>
                <w:lang w:val="en-GB"/>
              </w:rPr>
              <w:t>That Oakham Town Council approves the continued funding of the Hopper Bus service at £29,000 for 2025–26, subject to ongoing review and partnership with Rutland County Council.</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4057B141"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6FF2955C"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084EF6">
              <w:rPr>
                <w:rFonts w:ascii="Arial" w:hAnsi="Arial" w:cs="Arial"/>
                <w:bCs/>
                <w:i/>
                <w:iCs/>
                <w:sz w:val="16"/>
                <w:szCs w:val="16"/>
              </w:rPr>
              <w:t>Oakham Hopper</w:t>
            </w:r>
          </w:p>
        </w:tc>
        <w:tc>
          <w:tcPr>
            <w:tcW w:w="1701" w:type="dxa"/>
            <w:gridSpan w:val="2"/>
            <w:vAlign w:val="center"/>
          </w:tcPr>
          <w:p w14:paraId="5D681E64" w14:textId="747A7F4E" w:rsidR="00717AF4" w:rsidRDefault="00717AF4" w:rsidP="00717AF4">
            <w:pPr>
              <w:rPr>
                <w:rFonts w:asciiTheme="majorHAnsi" w:hAnsiTheme="majorHAnsi" w:cstheme="majorHAnsi"/>
                <w:bCs/>
              </w:rPr>
            </w:pPr>
            <w:proofErr w:type="gramStart"/>
            <w:r>
              <w:rPr>
                <w:rFonts w:ascii="Arial" w:hAnsi="Arial" w:cs="Arial"/>
                <w:bCs/>
                <w:i/>
                <w:iCs/>
                <w:sz w:val="16"/>
                <w:szCs w:val="16"/>
              </w:rPr>
              <w:t>Amount:</w:t>
            </w:r>
            <w:r w:rsidR="00084EF6">
              <w:rPr>
                <w:rFonts w:ascii="Arial" w:hAnsi="Arial" w:cs="Arial"/>
                <w:bCs/>
                <w:i/>
                <w:iCs/>
                <w:sz w:val="16"/>
                <w:szCs w:val="16"/>
              </w:rPr>
              <w:t>£</w:t>
            </w:r>
            <w:proofErr w:type="gramEnd"/>
            <w:r w:rsidR="00084EF6">
              <w:rPr>
                <w:rFonts w:ascii="Arial" w:hAnsi="Arial" w:cs="Arial"/>
                <w:bCs/>
                <w:i/>
                <w:iCs/>
                <w:sz w:val="16"/>
                <w:szCs w:val="16"/>
              </w:rPr>
              <w:t>29,000</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3F3908C3"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7099820F"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1276" w:type="dxa"/>
            <w:gridSpan w:val="2"/>
          </w:tcPr>
          <w:p w14:paraId="7416C467" w14:textId="4C8F6AC0"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134" w:type="dxa"/>
            <w:vAlign w:val="center"/>
          </w:tcPr>
          <w:p w14:paraId="0E99F9F3" w14:textId="4183EEA3" w:rsidR="006439F5" w:rsidRPr="00B25C9E" w:rsidRDefault="00B25C9E" w:rsidP="00717AF4">
            <w:pPr>
              <w:rPr>
                <w:rFonts w:ascii="Arial" w:hAnsi="Arial" w:cs="Arial"/>
                <w:bCs/>
                <w:sz w:val="16"/>
                <w:szCs w:val="16"/>
              </w:rPr>
            </w:pPr>
            <w:r w:rsidRPr="00B25C9E">
              <w:rPr>
                <w:rFonts w:ascii="Arial" w:hAnsi="Arial" w:cs="Arial"/>
                <w:bCs/>
                <w:sz w:val="16"/>
                <w:szCs w:val="16"/>
              </w:rPr>
              <w:t>FY:</w:t>
            </w:r>
            <w:r w:rsidR="00084EF6">
              <w:rPr>
                <w:rFonts w:ascii="Arial" w:hAnsi="Arial" w:cs="Arial"/>
                <w:bCs/>
                <w:sz w:val="16"/>
                <w:szCs w:val="16"/>
              </w:rPr>
              <w:t>2026</w:t>
            </w: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6CC781CB"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1"/>
                  <w14:checkedState w14:val="2612" w14:font="MS Gothic"/>
                  <w14:uncheckedState w14:val="2610" w14:font="MS Gothic"/>
                </w14:checkbox>
              </w:sdtPr>
              <w:sdtEndPr/>
              <w:sdtContent>
                <w:r w:rsidR="00084EF6">
                  <w:rPr>
                    <w:rFonts w:ascii="MS Gothic" w:eastAsia="MS Gothic" w:hAnsi="MS Gothic" w:cs="Arial" w:hint="eastAsia"/>
                    <w:bCs/>
                  </w:rPr>
                  <w:t>☒</w:t>
                </w:r>
              </w:sdtContent>
            </w:sdt>
          </w:p>
        </w:tc>
        <w:tc>
          <w:tcPr>
            <w:tcW w:w="5954" w:type="dxa"/>
            <w:gridSpan w:val="5"/>
            <w:vAlign w:val="center"/>
          </w:tcPr>
          <w:p w14:paraId="272EA49D" w14:textId="040EA364"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 xml:space="preserve">: </w:t>
            </w:r>
            <w:r w:rsidR="00084EF6">
              <w:rPr>
                <w:rFonts w:ascii="Arial" w:hAnsi="Arial" w:cs="Arial"/>
                <w:bCs/>
                <w:i/>
                <w:iCs/>
                <w:sz w:val="16"/>
                <w:szCs w:val="16"/>
              </w:rPr>
              <w:t>Support Free Bus Service as outlined</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265CAA8D"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Rutland county Council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C909" w14:textId="77777777" w:rsidR="00C20739" w:rsidRDefault="00C20739" w:rsidP="005E6E50">
      <w:r>
        <w:separator/>
      </w:r>
    </w:p>
  </w:endnote>
  <w:endnote w:type="continuationSeparator" w:id="0">
    <w:p w14:paraId="6D31BC1E" w14:textId="77777777" w:rsidR="00C20739" w:rsidRDefault="00C20739"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9AFC" w14:textId="77777777" w:rsidR="00C20739" w:rsidRDefault="00C20739" w:rsidP="005E6E50">
      <w:r>
        <w:separator/>
      </w:r>
    </w:p>
  </w:footnote>
  <w:footnote w:type="continuationSeparator" w:id="0">
    <w:p w14:paraId="2F013F6C" w14:textId="77777777" w:rsidR="00C20739" w:rsidRDefault="00C20739"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794CC8"/>
    <w:multiLevelType w:val="hybridMultilevel"/>
    <w:tmpl w:val="D3F05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75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39748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53541"/>
    <w:rsid w:val="00061932"/>
    <w:rsid w:val="00062D80"/>
    <w:rsid w:val="00064BD5"/>
    <w:rsid w:val="00073DF1"/>
    <w:rsid w:val="000846DE"/>
    <w:rsid w:val="00084EF6"/>
    <w:rsid w:val="00085648"/>
    <w:rsid w:val="00087C83"/>
    <w:rsid w:val="0009072B"/>
    <w:rsid w:val="000A11F9"/>
    <w:rsid w:val="000A49C3"/>
    <w:rsid w:val="000A68C5"/>
    <w:rsid w:val="000A70DF"/>
    <w:rsid w:val="000A7EAA"/>
    <w:rsid w:val="000A7F9B"/>
    <w:rsid w:val="000B12C3"/>
    <w:rsid w:val="000B65ED"/>
    <w:rsid w:val="000D0070"/>
    <w:rsid w:val="000D3814"/>
    <w:rsid w:val="000D7677"/>
    <w:rsid w:val="000E6A43"/>
    <w:rsid w:val="000E6BD3"/>
    <w:rsid w:val="000E7E9A"/>
    <w:rsid w:val="000F33AE"/>
    <w:rsid w:val="000F4388"/>
    <w:rsid w:val="000F6C63"/>
    <w:rsid w:val="00105A1A"/>
    <w:rsid w:val="00112076"/>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2059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B760F"/>
    <w:rsid w:val="004C22BE"/>
    <w:rsid w:val="004C7DEB"/>
    <w:rsid w:val="004E6990"/>
    <w:rsid w:val="004F2121"/>
    <w:rsid w:val="004F58B8"/>
    <w:rsid w:val="005070EE"/>
    <w:rsid w:val="00514CAE"/>
    <w:rsid w:val="0051510A"/>
    <w:rsid w:val="00525283"/>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24A4"/>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6133"/>
    <w:rsid w:val="007517E5"/>
    <w:rsid w:val="00755EB9"/>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B5D1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D11C9"/>
    <w:rsid w:val="00AD2C70"/>
    <w:rsid w:val="00AD3D52"/>
    <w:rsid w:val="00AE11AE"/>
    <w:rsid w:val="00AF1C6C"/>
    <w:rsid w:val="00AF6643"/>
    <w:rsid w:val="00B14242"/>
    <w:rsid w:val="00B1760B"/>
    <w:rsid w:val="00B20612"/>
    <w:rsid w:val="00B259BD"/>
    <w:rsid w:val="00B25C9E"/>
    <w:rsid w:val="00B33743"/>
    <w:rsid w:val="00B4120C"/>
    <w:rsid w:val="00B432C7"/>
    <w:rsid w:val="00B444F7"/>
    <w:rsid w:val="00B5468B"/>
    <w:rsid w:val="00B6153E"/>
    <w:rsid w:val="00B649B0"/>
    <w:rsid w:val="00B65DDB"/>
    <w:rsid w:val="00B669A5"/>
    <w:rsid w:val="00B75B21"/>
    <w:rsid w:val="00B85733"/>
    <w:rsid w:val="00B91CBB"/>
    <w:rsid w:val="00B93DA7"/>
    <w:rsid w:val="00BA4797"/>
    <w:rsid w:val="00BA6C7F"/>
    <w:rsid w:val="00BA7227"/>
    <w:rsid w:val="00BB355D"/>
    <w:rsid w:val="00BC7A38"/>
    <w:rsid w:val="00BD62C0"/>
    <w:rsid w:val="00BD75F8"/>
    <w:rsid w:val="00BD7896"/>
    <w:rsid w:val="00BF133A"/>
    <w:rsid w:val="00BF6D64"/>
    <w:rsid w:val="00BF7EE1"/>
    <w:rsid w:val="00C01E4B"/>
    <w:rsid w:val="00C12CC8"/>
    <w:rsid w:val="00C20739"/>
    <w:rsid w:val="00C30C23"/>
    <w:rsid w:val="00C3628E"/>
    <w:rsid w:val="00C40974"/>
    <w:rsid w:val="00C410C5"/>
    <w:rsid w:val="00C469EE"/>
    <w:rsid w:val="00C562D6"/>
    <w:rsid w:val="00C670B5"/>
    <w:rsid w:val="00C901E8"/>
    <w:rsid w:val="00CA08F5"/>
    <w:rsid w:val="00CA44ED"/>
    <w:rsid w:val="00CB2546"/>
    <w:rsid w:val="00CB2B57"/>
    <w:rsid w:val="00CB4248"/>
    <w:rsid w:val="00CD499B"/>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98D80-8AC0-413E-A89F-2409CD775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E4D79-FD5F-4D93-9628-8118535BCB32}">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A3F7238D-9B23-4507-B58A-1FAB0E334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6</cp:revision>
  <cp:lastPrinted>2024-06-20T14:01:00Z</cp:lastPrinted>
  <dcterms:created xsi:type="dcterms:W3CDTF">2025-10-25T10:23:00Z</dcterms:created>
  <dcterms:modified xsi:type="dcterms:W3CDTF">2025-11-06T15:54:00Z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