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775"/>
        <w:gridCol w:w="2166"/>
      </w:tblGrid>
      <w:tr w:rsidR="00E71D48" w14:paraId="2E0DD2DC" w14:textId="77777777" w:rsidTr="007303C5">
        <w:tc>
          <w:tcPr>
            <w:tcW w:w="2122" w:type="dxa"/>
          </w:tcPr>
          <w:p w14:paraId="29366C5D" w14:textId="0A0B09FD" w:rsidR="00E71D48" w:rsidRDefault="00E71D48" w:rsidP="00BA79F6">
            <w:pPr>
              <w:rPr>
                <w:sz w:val="28"/>
                <w:szCs w:val="28"/>
              </w:rPr>
            </w:pPr>
            <w:r>
              <w:rPr>
                <w:noProof/>
              </w:rPr>
              <w:drawing>
                <wp:anchor distT="0" distB="0" distL="114300" distR="114300" simplePos="0" relativeHeight="251662336" behindDoc="1" locked="0" layoutInCell="1" allowOverlap="1" wp14:anchorId="5C384425" wp14:editId="6EC4C4D0">
                  <wp:simplePos x="0" y="0"/>
                  <wp:positionH relativeFrom="column">
                    <wp:posOffset>56727</wp:posOffset>
                  </wp:positionH>
                  <wp:positionV relativeFrom="paragraph">
                    <wp:posOffset>0</wp:posOffset>
                  </wp:positionV>
                  <wp:extent cx="742950" cy="845426"/>
                  <wp:effectExtent l="0" t="0" r="0" b="0"/>
                  <wp:wrapTight wrapText="bothSides">
                    <wp:wrapPolygon edited="0">
                      <wp:start x="9415" y="0"/>
                      <wp:lineTo x="1108" y="7303"/>
                      <wp:lineTo x="2215" y="16553"/>
                      <wp:lineTo x="7200" y="19474"/>
                      <wp:lineTo x="7754" y="20448"/>
                      <wp:lineTo x="13846" y="20448"/>
                      <wp:lineTo x="14400" y="19474"/>
                      <wp:lineTo x="19385" y="16553"/>
                      <wp:lineTo x="21046" y="7790"/>
                      <wp:lineTo x="12185" y="0"/>
                      <wp:lineTo x="9415" y="0"/>
                    </wp:wrapPolygon>
                  </wp:wrapTight>
                  <wp:docPr id="2090519169" name="Picture 2" descr="A blue and yellow emblem with a horsesho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19169" name="Picture 2" descr="A blue and yellow emblem with a horseshoe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45426"/>
                          </a:xfrm>
                          <a:prstGeom prst="rect">
                            <a:avLst/>
                          </a:prstGeom>
                          <a:noFill/>
                          <a:ln>
                            <a:noFill/>
                          </a:ln>
                        </pic:spPr>
                      </pic:pic>
                    </a:graphicData>
                  </a:graphic>
                </wp:anchor>
              </w:drawing>
            </w:r>
          </w:p>
        </w:tc>
        <w:tc>
          <w:tcPr>
            <w:tcW w:w="4961" w:type="dxa"/>
            <w:vAlign w:val="center"/>
          </w:tcPr>
          <w:p w14:paraId="39FB607F" w14:textId="77777777" w:rsidR="00BA79F6" w:rsidRDefault="00BA79F6" w:rsidP="00E71D48">
            <w:pPr>
              <w:jc w:val="center"/>
              <w:rPr>
                <w:sz w:val="28"/>
                <w:szCs w:val="28"/>
              </w:rPr>
            </w:pPr>
          </w:p>
          <w:p w14:paraId="72F814CF" w14:textId="16CFB910" w:rsidR="00E71D48" w:rsidRPr="00E71D48" w:rsidRDefault="00E71D48" w:rsidP="00E71D48">
            <w:pPr>
              <w:jc w:val="center"/>
              <w:rPr>
                <w:sz w:val="28"/>
                <w:szCs w:val="28"/>
              </w:rPr>
            </w:pPr>
            <w:r w:rsidRPr="00E71D48">
              <w:rPr>
                <w:sz w:val="28"/>
                <w:szCs w:val="28"/>
              </w:rPr>
              <w:t>Oakham Town Council</w:t>
            </w:r>
          </w:p>
          <w:p w14:paraId="27E801F4" w14:textId="77777777" w:rsidR="00E71D48" w:rsidRDefault="00E71D48" w:rsidP="00E71D48">
            <w:pPr>
              <w:jc w:val="center"/>
              <w:rPr>
                <w:sz w:val="28"/>
                <w:szCs w:val="28"/>
              </w:rPr>
            </w:pPr>
          </w:p>
        </w:tc>
        <w:tc>
          <w:tcPr>
            <w:tcW w:w="1933" w:type="dxa"/>
            <w:vAlign w:val="bottom"/>
          </w:tcPr>
          <w:p w14:paraId="0A9FC323" w14:textId="123B132A" w:rsidR="00E71D48" w:rsidRDefault="00E71D48" w:rsidP="007303C5">
            <w:pPr>
              <w:rPr>
                <w:sz w:val="28"/>
                <w:szCs w:val="28"/>
              </w:rPr>
            </w:pPr>
            <w:r w:rsidRPr="00E71D48">
              <w:rPr>
                <w:rFonts w:asciiTheme="majorHAnsi" w:hAnsiTheme="majorHAnsi"/>
                <w:noProof/>
                <w:sz w:val="44"/>
                <w:szCs w:val="44"/>
              </w:rPr>
              <mc:AlternateContent>
                <mc:Choice Requires="wps">
                  <w:drawing>
                    <wp:anchor distT="45720" distB="45720" distL="114300" distR="114300" simplePos="0" relativeHeight="251664384" behindDoc="0" locked="0" layoutInCell="1" allowOverlap="1" wp14:anchorId="7F5ADCF7" wp14:editId="4DCB39E9">
                      <wp:simplePos x="0" y="0"/>
                      <wp:positionH relativeFrom="margin">
                        <wp:posOffset>14605</wp:posOffset>
                      </wp:positionH>
                      <wp:positionV relativeFrom="paragraph">
                        <wp:posOffset>-319405</wp:posOffset>
                      </wp:positionV>
                      <wp:extent cx="12096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85750"/>
                              </a:xfrm>
                              <a:prstGeom prst="rect">
                                <a:avLst/>
                              </a:prstGeom>
                              <a:solidFill>
                                <a:schemeClr val="accent6">
                                  <a:lumMod val="75000"/>
                                </a:schemeClr>
                              </a:solidFill>
                              <a:ln w="9525">
                                <a:solidFill>
                                  <a:srgbClr val="000000"/>
                                </a:solidFill>
                                <a:miter lim="800000"/>
                                <a:headEnd/>
                                <a:tailEnd/>
                              </a:ln>
                            </wps:spPr>
                            <wps:txbx>
                              <w:txbxContent>
                                <w:p w14:paraId="547B1E02" w14:textId="6C8643CB" w:rsidR="00E71D48" w:rsidRPr="007303C5" w:rsidRDefault="004812B4" w:rsidP="00E71D48">
                                  <w:pPr>
                                    <w:rPr>
                                      <w:color w:val="FFFFFF" w:themeColor="background1"/>
                                      <w:sz w:val="20"/>
                                      <w:szCs w:val="20"/>
                                    </w:rPr>
                                  </w:pPr>
                                  <w:r w:rsidRPr="007303C5">
                                    <w:rPr>
                                      <w:color w:val="FFFFFF" w:themeColor="background1"/>
                                      <w:sz w:val="20"/>
                                      <w:szCs w:val="20"/>
                                    </w:rPr>
                                    <w:t>SEPT</w:t>
                                  </w:r>
                                  <w:r w:rsidR="007303C5" w:rsidRPr="007303C5">
                                    <w:rPr>
                                      <w:color w:val="FFFFFF" w:themeColor="background1"/>
                                      <w:sz w:val="20"/>
                                      <w:szCs w:val="20"/>
                                    </w:rPr>
                                    <w:t>EMBER</w:t>
                                  </w:r>
                                  <w:r w:rsidRPr="007303C5">
                                    <w:rPr>
                                      <w:color w:val="FFFFFF" w:themeColor="background1"/>
                                      <w:sz w:val="20"/>
                                      <w:szCs w:val="20"/>
                                    </w:rPr>
                                    <w:t xml:space="preserve"> </w:t>
                                  </w:r>
                                  <w:r w:rsidR="00E71D48" w:rsidRPr="007303C5">
                                    <w:rPr>
                                      <w:color w:val="FFFFFF" w:themeColor="background1"/>
                                      <w:sz w:val="20"/>
                                      <w:szCs w:val="20"/>
                                    </w:rPr>
                                    <w:t>202</w:t>
                                  </w:r>
                                  <w:r w:rsidR="00D47B48" w:rsidRPr="007303C5">
                                    <w:rPr>
                                      <w:color w:val="FFFFFF" w:themeColor="background1"/>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ADCF7" id="_x0000_t202" coordsize="21600,21600" o:spt="202" path="m,l,21600r21600,l21600,xe">
                      <v:stroke joinstyle="miter"/>
                      <v:path gradientshapeok="t" o:connecttype="rect"/>
                    </v:shapetype>
                    <v:shape id="Text Box 2" o:spid="_x0000_s1026" type="#_x0000_t202" style="position:absolute;margin-left:1.15pt;margin-top:-25.15pt;width:95.2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" fillcolor="#3a7c22 [2409]">
                      <v:textbox>
                        <w:txbxContent>
                          <w:p w14:paraId="547B1E02" w14:textId="6C8643CB" w:rsidR="00E71D48" w:rsidRPr="007303C5" w:rsidRDefault="004812B4" w:rsidP="00E71D48">
                            <w:pPr>
                              <w:rPr>
                                <w:color w:val="FFFFFF" w:themeColor="background1"/>
                                <w:sz w:val="20"/>
                                <w:szCs w:val="20"/>
                              </w:rPr>
                            </w:pPr>
                            <w:r w:rsidRPr="007303C5">
                              <w:rPr>
                                <w:color w:val="FFFFFF" w:themeColor="background1"/>
                                <w:sz w:val="20"/>
                                <w:szCs w:val="20"/>
                              </w:rPr>
                              <w:t>SEPT</w:t>
                            </w:r>
                            <w:r w:rsidR="007303C5" w:rsidRPr="007303C5">
                              <w:rPr>
                                <w:color w:val="FFFFFF" w:themeColor="background1"/>
                                <w:sz w:val="20"/>
                                <w:szCs w:val="20"/>
                              </w:rPr>
                              <w:t>EMBER</w:t>
                            </w:r>
                            <w:r w:rsidRPr="007303C5">
                              <w:rPr>
                                <w:color w:val="FFFFFF" w:themeColor="background1"/>
                                <w:sz w:val="20"/>
                                <w:szCs w:val="20"/>
                              </w:rPr>
                              <w:t xml:space="preserve"> </w:t>
                            </w:r>
                            <w:r w:rsidR="00E71D48" w:rsidRPr="007303C5">
                              <w:rPr>
                                <w:color w:val="FFFFFF" w:themeColor="background1"/>
                                <w:sz w:val="20"/>
                                <w:szCs w:val="20"/>
                              </w:rPr>
                              <w:t>202</w:t>
                            </w:r>
                            <w:r w:rsidR="00D47B48" w:rsidRPr="007303C5">
                              <w:rPr>
                                <w:color w:val="FFFFFF" w:themeColor="background1"/>
                                <w:sz w:val="20"/>
                                <w:szCs w:val="20"/>
                              </w:rPr>
                              <w:t>5</w:t>
                            </w:r>
                          </w:p>
                        </w:txbxContent>
                      </v:textbox>
                      <w10:wrap type="square" anchorx="margin"/>
                    </v:shape>
                  </w:pict>
                </mc:Fallback>
              </mc:AlternateContent>
            </w:r>
          </w:p>
        </w:tc>
      </w:tr>
      <w:tr w:rsidR="00BA79F6" w14:paraId="7334CD4D" w14:textId="77777777" w:rsidTr="00BA79F6">
        <w:tc>
          <w:tcPr>
            <w:tcW w:w="9016" w:type="dxa"/>
            <w:gridSpan w:val="3"/>
          </w:tcPr>
          <w:p w14:paraId="08AFA5D5" w14:textId="248DB89E" w:rsidR="00BA79F6" w:rsidRPr="00BA79F6" w:rsidRDefault="00BA79F6" w:rsidP="00BA79F6">
            <w:pPr>
              <w:rPr>
                <w:rFonts w:asciiTheme="majorHAnsi" w:hAnsiTheme="majorHAnsi"/>
                <w:b/>
                <w:bCs/>
                <w:sz w:val="52"/>
                <w:szCs w:val="52"/>
              </w:rPr>
            </w:pPr>
            <w:r w:rsidRPr="00BA79F6">
              <w:rPr>
                <w:rFonts w:asciiTheme="majorHAnsi" w:hAnsiTheme="majorHAnsi"/>
                <w:b/>
                <w:bCs/>
                <w:sz w:val="56"/>
                <w:szCs w:val="56"/>
              </w:rPr>
              <w:t>Office News</w:t>
            </w:r>
            <w:r w:rsidR="004C3EB9">
              <w:rPr>
                <w:rFonts w:asciiTheme="majorHAnsi" w:hAnsiTheme="majorHAnsi"/>
                <w:b/>
                <w:bCs/>
                <w:sz w:val="56"/>
                <w:szCs w:val="56"/>
              </w:rPr>
              <w:t>l</w:t>
            </w:r>
            <w:r w:rsidRPr="00BA79F6">
              <w:rPr>
                <w:rFonts w:asciiTheme="majorHAnsi" w:hAnsiTheme="majorHAnsi"/>
                <w:b/>
                <w:bCs/>
                <w:sz w:val="56"/>
                <w:szCs w:val="56"/>
              </w:rPr>
              <w:t xml:space="preserve">etter </w:t>
            </w:r>
            <w:r w:rsidRPr="00BA79F6">
              <w:rPr>
                <w:rFonts w:asciiTheme="majorHAnsi" w:hAnsiTheme="majorHAnsi"/>
                <w:b/>
                <w:bCs/>
                <w:sz w:val="52"/>
                <w:szCs w:val="52"/>
              </w:rPr>
              <w:tab/>
            </w:r>
            <w:r w:rsidRPr="00BA79F6">
              <w:rPr>
                <w:rFonts w:asciiTheme="majorHAnsi" w:hAnsiTheme="majorHAnsi"/>
                <w:b/>
                <w:bCs/>
                <w:sz w:val="52"/>
                <w:szCs w:val="52"/>
              </w:rPr>
              <w:tab/>
            </w:r>
            <w:r w:rsidRPr="00BA79F6">
              <w:rPr>
                <w:rFonts w:asciiTheme="majorHAnsi" w:hAnsiTheme="majorHAnsi"/>
                <w:b/>
                <w:bCs/>
                <w:sz w:val="52"/>
                <w:szCs w:val="52"/>
              </w:rPr>
              <w:tab/>
            </w:r>
          </w:p>
          <w:p w14:paraId="34E0E71A" w14:textId="3D218ACE" w:rsidR="00BA79F6" w:rsidRPr="00BA79F6" w:rsidRDefault="00BA79F6" w:rsidP="00BA79F6">
            <w:pPr>
              <w:rPr>
                <w:rFonts w:asciiTheme="majorHAnsi" w:hAnsiTheme="majorHAnsi"/>
                <w:i/>
                <w:iCs/>
                <w:sz w:val="32"/>
                <w:szCs w:val="32"/>
              </w:rPr>
            </w:pPr>
            <w:r w:rsidRPr="00E71D48">
              <w:rPr>
                <w:rFonts w:asciiTheme="majorHAnsi" w:hAnsiTheme="majorHAnsi"/>
                <w:i/>
                <w:iCs/>
                <w:sz w:val="32"/>
                <w:szCs w:val="32"/>
              </w:rPr>
              <w:t>Working for Oakham</w:t>
            </w:r>
          </w:p>
          <w:p w14:paraId="4A77DBB7" w14:textId="44B8EB0E" w:rsidR="00BA79F6" w:rsidRDefault="00BA79F6" w:rsidP="00E71D48">
            <w:pPr>
              <w:jc w:val="center"/>
              <w:rPr>
                <w:sz w:val="28"/>
                <w:szCs w:val="28"/>
              </w:rPr>
            </w:pPr>
            <w:r>
              <w:rPr>
                <w:rFonts w:asciiTheme="majorHAnsi" w:hAnsiTheme="majorHAnsi"/>
                <w:noProof/>
                <w:sz w:val="44"/>
                <w:szCs w:val="44"/>
              </w:rPr>
              <mc:AlternateContent>
                <mc:Choice Requires="wps">
                  <w:drawing>
                    <wp:anchor distT="0" distB="0" distL="114300" distR="114300" simplePos="0" relativeHeight="251659264" behindDoc="0" locked="0" layoutInCell="1" allowOverlap="1" wp14:anchorId="18B6F9D5" wp14:editId="4633E7FE">
                      <wp:simplePos x="0" y="0"/>
                      <wp:positionH relativeFrom="column">
                        <wp:posOffset>-128905</wp:posOffset>
                      </wp:positionH>
                      <wp:positionV relativeFrom="paragraph">
                        <wp:posOffset>75565</wp:posOffset>
                      </wp:positionV>
                      <wp:extent cx="5905500" cy="0"/>
                      <wp:effectExtent l="38100" t="19050" r="57150" b="114300"/>
                      <wp:wrapNone/>
                      <wp:docPr id="675648333"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6">
                                    <a:lumMod val="7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C7A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pt,5.95pt" to="454.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" strokecolor="#3a7c22 [2409]" strokeweight=".5pt">
                      <v:stroke joinstyle="miter"/>
                      <v:shadow on="t" color="black" opacity="26214f" origin=",-.5" offset="0,3pt"/>
                    </v:line>
                  </w:pict>
                </mc:Fallback>
              </mc:AlternateContent>
            </w:r>
          </w:p>
        </w:tc>
      </w:tr>
    </w:tbl>
    <w:p w14:paraId="731FD174" w14:textId="00C5A225" w:rsidR="00134176" w:rsidRPr="00134176" w:rsidRDefault="0070743B" w:rsidP="00134176">
      <w:r w:rsidRPr="00E33022">
        <w:rPr>
          <w:b/>
          <w:bCs/>
          <w:sz w:val="28"/>
          <w:szCs w:val="28"/>
        </w:rPr>
        <w:t xml:space="preserve">Policy Development </w:t>
      </w:r>
      <w:r w:rsidR="00E33022">
        <w:rPr>
          <w:b/>
          <w:bCs/>
          <w:sz w:val="28"/>
          <w:szCs w:val="28"/>
        </w:rPr>
        <w:t>u</w:t>
      </w:r>
      <w:r w:rsidRPr="00E33022">
        <w:rPr>
          <w:b/>
          <w:bCs/>
          <w:sz w:val="28"/>
          <w:szCs w:val="28"/>
        </w:rPr>
        <w:t>pdate for Councillors</w:t>
      </w:r>
      <w:r w:rsidR="00E33022" w:rsidRPr="00E33022">
        <w:rPr>
          <w:b/>
          <w:bCs/>
        </w:rPr>
        <w:br/>
      </w:r>
      <w:bookmarkStart w:id="0" w:name="_Hlk189563430"/>
      <w:r w:rsidR="007B2EB4">
        <w:br/>
      </w:r>
      <w:r w:rsidR="00134176" w:rsidRPr="00134176">
        <w:t>We’re continuing to advance several practical initiatives that enhance public spaces and support our community. One such proposal</w:t>
      </w:r>
      <w:r w:rsidR="00134176">
        <w:t xml:space="preserve">, </w:t>
      </w:r>
      <w:r w:rsidR="00134176" w:rsidRPr="00134176">
        <w:t>brought forward by Cllr Brookes and approved in principle by Council</w:t>
      </w:r>
      <w:r w:rsidR="00134176">
        <w:t xml:space="preserve">, </w:t>
      </w:r>
      <w:r w:rsidR="00134176" w:rsidRPr="00134176">
        <w:t>seeks to introduce restricted access to Cutts Close in alignment with Martyn’s Law. Preparations are underway to invite quotations for this work. Progress is currently paused while we await a response from English Heritage, whose input is essential before we proceed.</w:t>
      </w:r>
    </w:p>
    <w:p w14:paraId="3BF2D14E" w14:textId="533D4141" w:rsidR="00134176" w:rsidRDefault="00134176" w:rsidP="00134176">
      <w:r w:rsidRPr="00134176">
        <w:t>Separately, a hole has appeared on the grounds of Cutts Close, likely caused by an underground culvert. The area has been fenced off for safety. A quotation has been received for investigative and remedial works, and we’re awaiting further guidance from English Heritage before taking next steps.</w:t>
      </w:r>
    </w:p>
    <w:bookmarkEnd w:id="0"/>
    <w:p w14:paraId="3F378952" w14:textId="77777777" w:rsidR="00453316" w:rsidRPr="00453316" w:rsidRDefault="00453316" w:rsidP="00453316">
      <w:r w:rsidRPr="00453316">
        <w:t>Several practical motions are being brought to Council for approval at our October meeting, each designed to enhance public spaces and strengthen community infrastructure. These include a proposal to install a streetlight along the footpath from Burleigh Road, which would improve safety and visibility for pedestrians. Council will also consider an amendment to our flag flying policy to ensure it reflects both national guidance and local values. In addition, approval is being sought for the installation of metered electrical sockets in the Market Place to better support community events and local traders.</w:t>
      </w:r>
    </w:p>
    <w:p w14:paraId="3BDE4F16" w14:textId="28924E5F" w:rsidR="007B2EB4" w:rsidRPr="004B5461" w:rsidRDefault="00453316" w:rsidP="007B2EB4">
      <w:r w:rsidRPr="00453316">
        <w:t>Each of these initiatives reflects our commitment to making Oakham safer, brighter, and more welcoming. We’ll continue to keep residents informed as these projects progress through Council.</w:t>
      </w:r>
      <w:r>
        <w:br/>
      </w:r>
      <w:r w:rsidR="007B2EB4">
        <w:rPr>
          <w:b/>
          <w:bCs/>
        </w:rPr>
        <w:br/>
      </w:r>
      <w:r w:rsidR="007B2EB4" w:rsidRPr="004B5461">
        <w:t>As highlighted in our last newsletter, the team remains firmly committed to policy improvement. Work is already underway on a new Transparency Policy and a refreshed RCC Corporate Complaints Procedure—two key initiatives aimed at making governance clearer, fairer, and more accessible. While progress has temporarily paused due to current workload pressures, the foundations are in place and we’re excited to build momentum again soon.</w:t>
      </w:r>
    </w:p>
    <w:p w14:paraId="2A19D3C7" w14:textId="58F993DB" w:rsidR="007B2EB4" w:rsidRDefault="00D31392" w:rsidP="007B2EB4">
      <w:r>
        <w:t>Councillors are looking</w:t>
      </w:r>
      <w:r w:rsidR="007B2EB4" w:rsidRPr="004B5461">
        <w:t xml:space="preserve"> forward to </w:t>
      </w:r>
      <w:r>
        <w:t xml:space="preserve">the </w:t>
      </w:r>
      <w:r w:rsidR="007B2EB4" w:rsidRPr="004B5461">
        <w:t>meeting with Rutland County Council at the end of the month. Their offer of dedicated time and support is a welcome boost to Oakham Town Council’s development, and we’re grateful for the opportunity to collaborate.</w:t>
      </w:r>
    </w:p>
    <w:p w14:paraId="6D85AF4A" w14:textId="77777777" w:rsidR="00E33022" w:rsidRDefault="00DA2D9E" w:rsidP="004E36BD">
      <w:pPr>
        <w:rPr>
          <w:b/>
          <w:bCs/>
          <w:sz w:val="28"/>
          <w:szCs w:val="28"/>
        </w:rPr>
      </w:pPr>
      <w:r w:rsidRPr="0070743B">
        <w:rPr>
          <w:b/>
          <w:bCs/>
          <w:sz w:val="28"/>
          <w:szCs w:val="28"/>
        </w:rPr>
        <w:t xml:space="preserve">Internal </w:t>
      </w:r>
      <w:r w:rsidR="00BA79F6" w:rsidRPr="0070743B">
        <w:rPr>
          <w:b/>
          <w:bCs/>
          <w:sz w:val="28"/>
          <w:szCs w:val="28"/>
        </w:rPr>
        <w:t>Meetings</w:t>
      </w:r>
      <w:r w:rsidRPr="0070743B">
        <w:rPr>
          <w:b/>
          <w:bCs/>
          <w:sz w:val="28"/>
          <w:szCs w:val="28"/>
        </w:rPr>
        <w:t xml:space="preserve"> this month</w:t>
      </w:r>
    </w:p>
    <w:p w14:paraId="0183049A" w14:textId="58EB190B" w:rsidR="00387919" w:rsidRPr="00387919" w:rsidRDefault="00E33022" w:rsidP="00387919">
      <w:r w:rsidRPr="00E33022">
        <w:t>Another busy month</w:t>
      </w:r>
      <w:r>
        <w:t xml:space="preserve"> </w:t>
      </w:r>
      <w:r w:rsidRPr="0070743B">
        <w:t xml:space="preserve">preparing agendas, drafting meeting papers, and providing end-to-end support for </w:t>
      </w:r>
      <w:r>
        <w:t xml:space="preserve">our working groups and committees as well as </w:t>
      </w:r>
      <w:r w:rsidR="00D64B44">
        <w:t xml:space="preserve">holding </w:t>
      </w:r>
      <w:r>
        <w:t>meetings with individual councillors</w:t>
      </w:r>
      <w:r w:rsidR="00BB7F95">
        <w:t>.</w:t>
      </w:r>
      <w:r w:rsidR="00387919">
        <w:br/>
      </w:r>
      <w:r w:rsidR="00697EFC" w:rsidRPr="00387919">
        <w:rPr>
          <w:b/>
          <w:bCs/>
        </w:rPr>
        <w:lastRenderedPageBreak/>
        <w:br/>
      </w:r>
      <w:r w:rsidR="00387919" w:rsidRPr="00387919">
        <w:t>The Victoria Hall Working Group convened on 17 September and, in close collaboration with the Town Clerk and Admin Assistant, agreed a clear and coordinated plan to move forward. Work is now underway to assess refurbishment costs and explore potential revenue streams, with the objective of producing a robust and credible business viability plan. Engagement with financial experts is anticipated shortly to support this process and reinforce Oakham Town Council’s confidence in assuming sole trusteeship.</w:t>
      </w:r>
    </w:p>
    <w:p w14:paraId="1A54356E" w14:textId="77777777" w:rsidR="00387919" w:rsidRPr="00387919" w:rsidRDefault="00387919" w:rsidP="00387919">
      <w:r w:rsidRPr="00387919">
        <w:t>The office team is actively sourcing quotations from builders, solicitors, and charity law specialists to inform the next phase of decision-making. Subject to the timely receipt of professional advice and costings, a resolution will be brought to Full Council in November. Momentum is building, and every effort is being made to maintain progress.</w:t>
      </w:r>
    </w:p>
    <w:p w14:paraId="2B927A41" w14:textId="642469C1" w:rsidR="00387919" w:rsidRPr="00387919" w:rsidRDefault="00387919" w:rsidP="00387919">
      <w:r w:rsidRPr="00387919">
        <w:t>In parallel, separate meetings have been held with a fellow councillor to review and refine previously proposed meeting minutes. These discussions have also addressed the</w:t>
      </w:r>
      <w:r>
        <w:t xml:space="preserve"> introduction</w:t>
      </w:r>
      <w:r w:rsidRPr="00387919">
        <w:t xml:space="preserve"> of financial item descriptions, with the aim of reducing in-chamber queries and enhancing confidence in the clarity and accuracy of our financial reporting.</w:t>
      </w:r>
    </w:p>
    <w:p w14:paraId="510974BB" w14:textId="0AC2C8EE" w:rsidR="00387919" w:rsidRDefault="00387919" w:rsidP="00387919">
      <w:r w:rsidRPr="00387919">
        <w:t>Steady progress continues, underpinned by a shared commitment to transparency, diligence, and trust.</w:t>
      </w:r>
    </w:p>
    <w:p w14:paraId="05F01E27" w14:textId="77777777" w:rsidR="004070B0" w:rsidRDefault="00E552A5" w:rsidP="00387919">
      <w:pPr>
        <w:rPr>
          <w:b/>
          <w:bCs/>
          <w:sz w:val="28"/>
          <w:szCs w:val="28"/>
        </w:rPr>
      </w:pPr>
      <w:r w:rsidRPr="00DE1DBB">
        <w:rPr>
          <w:b/>
          <w:bCs/>
          <w:sz w:val="28"/>
          <w:szCs w:val="28"/>
        </w:rPr>
        <w:t>Church Wall</w:t>
      </w:r>
    </w:p>
    <w:p w14:paraId="312FA897" w14:textId="02475763" w:rsidR="00655039" w:rsidRPr="00387919" w:rsidRDefault="00E552A5" w:rsidP="00387919">
      <w:r>
        <w:t xml:space="preserve">Following the meeting with the contractors the concerns raised regarding the repairs of the Church Wall has now been actioned and the unsightly join between the repaired section and the </w:t>
      </w:r>
      <w:r w:rsidR="00655039">
        <w:t xml:space="preserve">existing wall has been addressed and is looking much better, a significant improvement. </w:t>
      </w:r>
      <w:r w:rsidR="000E566F">
        <w:br/>
      </w:r>
      <w:r w:rsidR="00655039">
        <w:br/>
      </w:r>
      <w:r w:rsidR="00655039" w:rsidRPr="00655039">
        <w:rPr>
          <w:b/>
          <w:bCs/>
          <w:sz w:val="28"/>
          <w:szCs w:val="28"/>
        </w:rPr>
        <w:t xml:space="preserve">Christmas </w:t>
      </w:r>
      <w:r w:rsidR="007E58A0">
        <w:rPr>
          <w:b/>
          <w:bCs/>
          <w:sz w:val="28"/>
          <w:szCs w:val="28"/>
        </w:rPr>
        <w:t>Lights switch on</w:t>
      </w:r>
    </w:p>
    <w:p w14:paraId="2736BD1C" w14:textId="41A2FE78" w:rsidR="007E58A0" w:rsidRPr="007E58A0" w:rsidRDefault="007E58A0" w:rsidP="007E58A0">
      <w:r w:rsidRPr="007E58A0">
        <w:t>Cllr Wadsworth and the office team have begun planning this year’s Christmas Lights switch-on, with early ideas already bringing festive cheer. While details are still being finalised, we anticipate closing the High Street, Mill Street, and the Market Place to traffic</w:t>
      </w:r>
      <w:r>
        <w:t xml:space="preserve">, </w:t>
      </w:r>
      <w:r w:rsidRPr="007E58A0">
        <w:t>creating a safe and welcoming space for residents to gather and celebrate.</w:t>
      </w:r>
    </w:p>
    <w:p w14:paraId="7A01A7E5" w14:textId="77777777" w:rsidR="007E58A0" w:rsidRPr="007E58A0" w:rsidRDefault="007E58A0" w:rsidP="007E58A0">
      <w:r w:rsidRPr="007E58A0">
        <w:t>We’ve invited the Oakham School choir to perform seasonal favourites, and warm treats like mince pies and hot chocolate will be on offer to keep spirits high. It promises to be a joyful occasion, full of music, laughter, and community warmth as we welcome the festive season together.</w:t>
      </w:r>
    </w:p>
    <w:p w14:paraId="60388BA6" w14:textId="0C3E23AC" w:rsidR="00652BC3" w:rsidRDefault="00E552A5" w:rsidP="0070743B">
      <w:pPr>
        <w:rPr>
          <w:b/>
          <w:bCs/>
          <w:sz w:val="28"/>
          <w:szCs w:val="28"/>
        </w:rPr>
      </w:pPr>
      <w:proofErr w:type="spellStart"/>
      <w:r w:rsidRPr="00E552A5">
        <w:rPr>
          <w:b/>
          <w:bCs/>
          <w:sz w:val="28"/>
          <w:szCs w:val="28"/>
        </w:rPr>
        <w:t>Cicle</w:t>
      </w:r>
      <w:proofErr w:type="spellEnd"/>
      <w:r w:rsidRPr="00E552A5">
        <w:rPr>
          <w:b/>
          <w:bCs/>
          <w:sz w:val="28"/>
          <w:szCs w:val="28"/>
        </w:rPr>
        <w:t xml:space="preserve"> </w:t>
      </w:r>
      <w:r w:rsidR="00652BC3">
        <w:rPr>
          <w:b/>
          <w:bCs/>
          <w:sz w:val="28"/>
          <w:szCs w:val="28"/>
        </w:rPr>
        <w:t xml:space="preserve">International </w:t>
      </w:r>
      <w:proofErr w:type="gramStart"/>
      <w:r w:rsidRPr="00E552A5">
        <w:rPr>
          <w:b/>
          <w:bCs/>
          <w:sz w:val="28"/>
          <w:szCs w:val="28"/>
        </w:rPr>
        <w:t>race</w:t>
      </w:r>
      <w:r w:rsidR="007B2EB4">
        <w:rPr>
          <w:b/>
          <w:bCs/>
          <w:sz w:val="28"/>
          <w:szCs w:val="28"/>
        </w:rPr>
        <w:t xml:space="preserve">, </w:t>
      </w:r>
      <w:r w:rsidR="00BB7F95" w:rsidRPr="00BB7F95">
        <w:rPr>
          <w:b/>
          <w:bCs/>
          <w:sz w:val="28"/>
          <w:szCs w:val="28"/>
        </w:rPr>
        <w:t xml:space="preserve"> Oakham</w:t>
      </w:r>
      <w:proofErr w:type="gramEnd"/>
      <w:r w:rsidR="00BB7F95" w:rsidRPr="00BB7F95">
        <w:rPr>
          <w:b/>
          <w:bCs/>
          <w:sz w:val="28"/>
          <w:szCs w:val="28"/>
        </w:rPr>
        <w:t xml:space="preserve"> Takes Centre Stage</w:t>
      </w:r>
    </w:p>
    <w:p w14:paraId="3E216915" w14:textId="2E4A2D9E" w:rsidR="00652BC3" w:rsidRPr="00652BC3" w:rsidRDefault="00652BC3" w:rsidP="00652BC3">
      <w:r w:rsidRPr="00652BC3">
        <w:t>Working in collaboration with Rutland County Council, we are preparing to welcome a landmark event to the heart of our community</w:t>
      </w:r>
      <w:r w:rsidR="007B2EB4">
        <w:t xml:space="preserve"> in 2026</w:t>
      </w:r>
      <w:r w:rsidRPr="00652BC3">
        <w:t xml:space="preserve">. </w:t>
      </w:r>
      <w:r w:rsidR="00BB7F95">
        <w:t>The event runs over two days o</w:t>
      </w:r>
      <w:r w:rsidRPr="00652BC3">
        <w:t xml:space="preserve">n </w:t>
      </w:r>
      <w:r w:rsidR="001E4FDC">
        <w:t>25</w:t>
      </w:r>
      <w:r w:rsidR="001E4FDC" w:rsidRPr="001E4FDC">
        <w:rPr>
          <w:vertAlign w:val="superscript"/>
        </w:rPr>
        <w:t>th</w:t>
      </w:r>
      <w:r w:rsidR="001E4FDC">
        <w:t xml:space="preserve"> &amp; 26</w:t>
      </w:r>
      <w:r w:rsidR="001E4FDC" w:rsidRPr="001E4FDC">
        <w:rPr>
          <w:vertAlign w:val="superscript"/>
        </w:rPr>
        <w:t>th</w:t>
      </w:r>
      <w:r w:rsidR="001E4FDC">
        <w:t xml:space="preserve"> April.  </w:t>
      </w:r>
      <w:r w:rsidRPr="00652BC3">
        <w:t>Oakham will host both the start and finish of the Rutland</w:t>
      </w:r>
      <w:r w:rsidR="007B2EB4">
        <w:t xml:space="preserve"> </w:t>
      </w:r>
      <w:proofErr w:type="spellStart"/>
      <w:r w:rsidRPr="00652BC3">
        <w:t>CiCLE</w:t>
      </w:r>
      <w:proofErr w:type="spellEnd"/>
      <w:r w:rsidRPr="00652BC3">
        <w:t xml:space="preserve"> Classic</w:t>
      </w:r>
      <w:r w:rsidR="007B2EB4">
        <w:t xml:space="preserve">; </w:t>
      </w:r>
      <w:r w:rsidRPr="00652BC3">
        <w:t xml:space="preserve">Britain’s premier one-day international cycle race. For the </w:t>
      </w:r>
      <w:r w:rsidR="007B2EB4">
        <w:t>second</w:t>
      </w:r>
      <w:r w:rsidRPr="00652BC3">
        <w:t xml:space="preserve"> time, our town centre becomes the focal point of this elite competition, placing Rutland firmly on the global cycling map.</w:t>
      </w:r>
    </w:p>
    <w:p w14:paraId="22C91722" w14:textId="77777777" w:rsidR="00652BC3" w:rsidRPr="00652BC3" w:rsidRDefault="00652BC3" w:rsidP="00652BC3">
      <w:r w:rsidRPr="00652BC3">
        <w:t xml:space="preserve">More than 170 riders from 33 international teams will tackle a 180 km route through challenging terrain, weaving across rural lanes, off-road farm tracks, and scenic villages including </w:t>
      </w:r>
      <w:proofErr w:type="spellStart"/>
      <w:r w:rsidRPr="00652BC3">
        <w:t>Teigh</w:t>
      </w:r>
      <w:proofErr w:type="spellEnd"/>
      <w:r w:rsidRPr="00652BC3">
        <w:t xml:space="preserve">, Wymondham, </w:t>
      </w:r>
      <w:proofErr w:type="spellStart"/>
      <w:r w:rsidRPr="00652BC3">
        <w:t>Knossington</w:t>
      </w:r>
      <w:proofErr w:type="spellEnd"/>
      <w:r w:rsidRPr="00652BC3">
        <w:t xml:space="preserve">, Burrough-on-the-Hill, and Burley-on-the-Hill. The race will showcase Rutland’s unique landscape while delivering significant economic and community </w:t>
      </w:r>
      <w:r w:rsidRPr="00652BC3">
        <w:lastRenderedPageBreak/>
        <w:t>benefits—boosting footfall, supporting local businesses, and engaging residents through food fairs, activities at Oakham Castle, and events at Victoria Hall.</w:t>
      </w:r>
    </w:p>
    <w:p w14:paraId="1789384A" w14:textId="77777777" w:rsidR="00652BC3" w:rsidRPr="00652BC3" w:rsidRDefault="00652BC3" w:rsidP="00652BC3">
      <w:r w:rsidRPr="00652BC3">
        <w:t>This is a proud moment for Rutland—a celebration of our countryside, our community spirit, and our growing reputation as a host of world-class events.</w:t>
      </w:r>
    </w:p>
    <w:p w14:paraId="46142509" w14:textId="77777777" w:rsidR="00BB7F95" w:rsidRDefault="00E552A5" w:rsidP="0070743B">
      <w:r w:rsidRPr="00D64B44">
        <w:rPr>
          <w:b/>
          <w:bCs/>
          <w:sz w:val="28"/>
          <w:szCs w:val="28"/>
        </w:rPr>
        <w:t>Oakham Hopper</w:t>
      </w:r>
      <w:r>
        <w:t xml:space="preserve"> </w:t>
      </w:r>
    </w:p>
    <w:p w14:paraId="4610B8C5" w14:textId="5043F063" w:rsidR="00E552A5" w:rsidRDefault="00BB7F95" w:rsidP="0070743B">
      <w:r>
        <w:t>The next meeting of the Oakham Hopper is scheduled for mid-October</w:t>
      </w:r>
    </w:p>
    <w:p w14:paraId="7D34E460" w14:textId="4B22D439" w:rsidR="00E44955" w:rsidRPr="00E44955" w:rsidRDefault="004222D5" w:rsidP="00E44955">
      <w:r>
        <w:t xml:space="preserve">As previously </w:t>
      </w:r>
      <w:proofErr w:type="gramStart"/>
      <w:r>
        <w:t>stated</w:t>
      </w:r>
      <w:proofErr w:type="gramEnd"/>
      <w:r>
        <w:t xml:space="preserve"> t</w:t>
      </w:r>
      <w:r w:rsidR="00AB75DE" w:rsidRPr="00DE1DBB">
        <w:t xml:space="preserve">his initiative </w:t>
      </w:r>
      <w:r>
        <w:t xml:space="preserve">to work closely with Rutland County Council </w:t>
      </w:r>
      <w:r w:rsidR="00AB75DE" w:rsidRPr="00DE1DBB">
        <w:t xml:space="preserve">reflects a shared ambition to make better use of existing resources while strengthening Oakham’s appeal as a welcoming, well-connected </w:t>
      </w:r>
      <w:proofErr w:type="gramStart"/>
      <w:r w:rsidR="00AB75DE" w:rsidRPr="00DE1DBB">
        <w:t>town</w:t>
      </w:r>
      <w:r w:rsidR="007E58A0">
        <w:t>;</w:t>
      </w:r>
      <w:proofErr w:type="gramEnd"/>
      <w:r w:rsidR="007E58A0">
        <w:t xml:space="preserve"> </w:t>
      </w:r>
      <w:r w:rsidR="00AB75DE" w:rsidRPr="00DE1DBB">
        <w:t>for residents, visitors, and event organisers alike.</w:t>
      </w:r>
    </w:p>
    <w:p w14:paraId="458626A8" w14:textId="0759ACAA" w:rsidR="004070B0" w:rsidRPr="004070B0" w:rsidRDefault="00DE1DBB" w:rsidP="004070B0">
      <w:r w:rsidRPr="00DE1DBB">
        <w:rPr>
          <w:b/>
          <w:bCs/>
          <w:sz w:val="28"/>
          <w:szCs w:val="28"/>
        </w:rPr>
        <w:t>Finance and Compliance Update</w:t>
      </w:r>
      <w:r w:rsidR="004070B0">
        <w:rPr>
          <w:b/>
          <w:bCs/>
          <w:sz w:val="28"/>
          <w:szCs w:val="28"/>
        </w:rPr>
        <w:br/>
      </w:r>
      <w:r w:rsidR="004070B0" w:rsidRPr="004070B0">
        <w:t xml:space="preserve">Preparations are underway to transition from the Council’s existing HSBC accounts, with new bank accounts </w:t>
      </w:r>
      <w:r w:rsidR="007B2EB4">
        <w:t xml:space="preserve">which will be </w:t>
      </w:r>
      <w:r w:rsidR="004070B0" w:rsidRPr="004070B0">
        <w:t>opened in readiness for the move.</w:t>
      </w:r>
    </w:p>
    <w:p w14:paraId="4685DAB7" w14:textId="77777777" w:rsidR="004070B0" w:rsidRPr="004070B0" w:rsidRDefault="004070B0" w:rsidP="004070B0">
      <w:r w:rsidRPr="004070B0">
        <w:t>In parallel, the Office will shortly present proposed amendments to the Financial Regulations for Full Council’s formal consideration. These revisions include the introduction of two supplementary appendices—Appendix 2: Authorising Expenditure and Appendix 3: Release of Funds for Significant Payments. Together, they are intended to strengthen financial governance and provide clearer, more structured guidance on payment authorisation and the release of funds, particularly in relation to higher-value transactions.</w:t>
      </w:r>
    </w:p>
    <w:p w14:paraId="037FDBC9" w14:textId="303BCFF3" w:rsidR="004070B0" w:rsidRDefault="004070B0" w:rsidP="00387919">
      <w:r w:rsidRPr="004070B0">
        <w:t>These updates reflect the Council’s ongoing commitment to transparency, accountability, and sound financial management</w:t>
      </w:r>
    </w:p>
    <w:p w14:paraId="23CFEFA0" w14:textId="5E0F1405" w:rsidR="00387919" w:rsidRPr="00387919" w:rsidRDefault="00387919" w:rsidP="00387919">
      <w:pPr>
        <w:rPr>
          <w:b/>
          <w:bCs/>
          <w:sz w:val="28"/>
          <w:szCs w:val="28"/>
        </w:rPr>
      </w:pPr>
      <w:r w:rsidRPr="00387919">
        <w:rPr>
          <w:b/>
          <w:bCs/>
          <w:sz w:val="28"/>
          <w:szCs w:val="28"/>
        </w:rPr>
        <w:t xml:space="preserve">Hear ye, hear ye! A proclamation of cheer and tradition! </w:t>
      </w:r>
    </w:p>
    <w:p w14:paraId="7B28805F" w14:textId="61A06E0B" w:rsidR="00387919" w:rsidRPr="00387919" w:rsidRDefault="00387919" w:rsidP="00387919">
      <w:r w:rsidRPr="00387919">
        <w:t>At the next meeting of Full Council this October, members shall be invited to consider the recruitment of a Town Crier</w:t>
      </w:r>
      <w:r w:rsidR="008101C0">
        <w:t xml:space="preserve">, </w:t>
      </w:r>
      <w:r w:rsidRPr="00387919">
        <w:t>a role steeped in heritage and civic pride. In keeping with custom, the prospective crier will attend in person, ringing her bell and delivering a spirited proclamation before the agenda item is formally introduced.</w:t>
      </w:r>
    </w:p>
    <w:p w14:paraId="5BD1C601" w14:textId="77777777" w:rsidR="00387919" w:rsidRDefault="00387919" w:rsidP="00387919">
      <w:r w:rsidRPr="00387919">
        <w:t>This lively interlude promises not only to entertain but to vividly illustrate the ceremonial charm and public-facing potential of the role. Let it be known: the voice of Oakham may soon ring out once more!</w:t>
      </w:r>
    </w:p>
    <w:p w14:paraId="034DDB20" w14:textId="77777777" w:rsidR="004070B0" w:rsidRPr="004070B0" w:rsidRDefault="00387919" w:rsidP="004070B0">
      <w:pPr>
        <w:rPr>
          <w:rFonts w:cs="Arial"/>
          <w:bCs/>
        </w:rPr>
      </w:pPr>
      <w:r w:rsidRPr="00387919">
        <w:rPr>
          <w:b/>
          <w:bCs/>
          <w:sz w:val="28"/>
          <w:szCs w:val="28"/>
        </w:rPr>
        <w:t>Adoption of a telephone kiosk</w:t>
      </w:r>
      <w:r w:rsidR="004070B0">
        <w:rPr>
          <w:b/>
          <w:bCs/>
          <w:sz w:val="28"/>
          <w:szCs w:val="28"/>
        </w:rPr>
        <w:br/>
      </w:r>
      <w:r w:rsidR="004070B0" w:rsidRPr="004070B0">
        <w:rPr>
          <w:rFonts w:cs="Arial"/>
          <w:bCs/>
        </w:rPr>
        <w:t>We’ve got a brilliant opportunity to adopt the iconic K6 Listed Kiosk in Oakham’s Market Place (LE15 6DT)—and it’s bursting with potential! Whether we choose to install a defibrillator (with BT kindly covering the power supply for seven years) or explore other creative uses, this little red box could become a real asset to the town.</w:t>
      </w:r>
    </w:p>
    <w:p w14:paraId="1C081082" w14:textId="6F3DB274" w:rsidR="00387919" w:rsidRPr="004070B0" w:rsidRDefault="004070B0" w:rsidP="00387919">
      <w:pPr>
        <w:rPr>
          <w:rFonts w:cs="Arial"/>
          <w:bCs/>
        </w:rPr>
      </w:pPr>
      <w:r w:rsidRPr="004070B0">
        <w:rPr>
          <w:rFonts w:cs="Arial"/>
          <w:bCs/>
        </w:rPr>
        <w:t>From practical ideas to playful ones, the possibilities are wide open—and we’ll be diving into them at the next Full Council meeting. Watch this space!</w:t>
      </w:r>
    </w:p>
    <w:p w14:paraId="20EE997A" w14:textId="77777777" w:rsidR="00AB75DE" w:rsidRDefault="00F87A67" w:rsidP="00F87A67">
      <w:pPr>
        <w:rPr>
          <w:b/>
          <w:bCs/>
          <w:sz w:val="28"/>
          <w:szCs w:val="28"/>
        </w:rPr>
      </w:pPr>
      <w:r w:rsidRPr="00F87A67">
        <w:rPr>
          <w:b/>
          <w:bCs/>
          <w:sz w:val="28"/>
          <w:szCs w:val="28"/>
        </w:rPr>
        <w:t xml:space="preserve">Professional development </w:t>
      </w:r>
    </w:p>
    <w:p w14:paraId="5B4B894C" w14:textId="77777777" w:rsidR="004070B0" w:rsidRPr="004070B0" w:rsidRDefault="004070B0" w:rsidP="004070B0">
      <w:r w:rsidRPr="004070B0">
        <w:t xml:space="preserve">We’re stepping up our support for councillor development and good governance with a few exciting updates. </w:t>
      </w:r>
      <w:proofErr w:type="spellStart"/>
      <w:r w:rsidRPr="004070B0">
        <w:t>FiLCA</w:t>
      </w:r>
      <w:proofErr w:type="spellEnd"/>
      <w:r w:rsidRPr="004070B0">
        <w:t xml:space="preserve"> training has been proposed for members of the Finance Working Group, with a funding paper heading to Full Council in October. At the same time, fresh copies of </w:t>
      </w:r>
      <w:r w:rsidRPr="004070B0">
        <w:rPr>
          <w:i/>
          <w:iCs/>
        </w:rPr>
        <w:t xml:space="preserve">The </w:t>
      </w:r>
      <w:r w:rsidRPr="004070B0">
        <w:rPr>
          <w:i/>
          <w:iCs/>
        </w:rPr>
        <w:lastRenderedPageBreak/>
        <w:t>Good Councillor’s Guide</w:t>
      </w:r>
      <w:r w:rsidRPr="004070B0">
        <w:t xml:space="preserve"> are on their way, and a newly updated information pack will soon be shared with all members to support onboarding and ongoing learning.</w:t>
      </w:r>
    </w:p>
    <w:sectPr w:rsidR="004070B0" w:rsidRPr="004070B0" w:rsidSect="004C3EB9">
      <w:headerReference w:type="default" r:id="rId11"/>
      <w:footerReference w:type="defaul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B392" w14:textId="77777777" w:rsidR="00476BAA" w:rsidRDefault="00476BAA" w:rsidP="00BE6ACE">
      <w:pPr>
        <w:spacing w:after="0" w:line="240" w:lineRule="auto"/>
      </w:pPr>
      <w:r>
        <w:separator/>
      </w:r>
    </w:p>
  </w:endnote>
  <w:endnote w:type="continuationSeparator" w:id="0">
    <w:p w14:paraId="483D875F" w14:textId="77777777" w:rsidR="00476BAA" w:rsidRDefault="00476BAA" w:rsidP="00BE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772717"/>
      <w:docPartObj>
        <w:docPartGallery w:val="Page Numbers (Bottom of Page)"/>
        <w:docPartUnique/>
      </w:docPartObj>
    </w:sdtPr>
    <w:sdtContent>
      <w:sdt>
        <w:sdtPr>
          <w:id w:val="-1705238520"/>
          <w:docPartObj>
            <w:docPartGallery w:val="Page Numbers (Top of Page)"/>
            <w:docPartUnique/>
          </w:docPartObj>
        </w:sdtPr>
        <w:sdtContent>
          <w:p w14:paraId="0514FCF8" w14:textId="4599F858" w:rsidR="00BE6ACE" w:rsidRDefault="00BE6ACE" w:rsidP="00BE6A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9751E8" w14:textId="77777777" w:rsidR="00BE6ACE" w:rsidRDefault="00BE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1E94" w14:textId="77777777" w:rsidR="00476BAA" w:rsidRDefault="00476BAA" w:rsidP="00BE6ACE">
      <w:pPr>
        <w:spacing w:after="0" w:line="240" w:lineRule="auto"/>
      </w:pPr>
      <w:r>
        <w:separator/>
      </w:r>
    </w:p>
  </w:footnote>
  <w:footnote w:type="continuationSeparator" w:id="0">
    <w:p w14:paraId="1AA9A792" w14:textId="77777777" w:rsidR="00476BAA" w:rsidRDefault="00476BAA" w:rsidP="00BE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5AA9" w14:textId="5C1102CB" w:rsidR="00BE6ACE" w:rsidRDefault="00BE6ACE">
    <w:pPr>
      <w:pStyle w:val="Header"/>
    </w:pPr>
    <w:r>
      <w:t xml:space="preserve">Office </w:t>
    </w:r>
    <w:r w:rsidR="004C3EB9">
      <w:t>Newsletter</w:t>
    </w:r>
    <w:r>
      <w:t xml:space="preserve"> –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4B3F"/>
    <w:multiLevelType w:val="hybridMultilevel"/>
    <w:tmpl w:val="66761FFC"/>
    <w:lvl w:ilvl="0" w:tplc="15B88CC8">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3CD6D22"/>
    <w:multiLevelType w:val="hybridMultilevel"/>
    <w:tmpl w:val="FFCC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326CC"/>
    <w:multiLevelType w:val="hybridMultilevel"/>
    <w:tmpl w:val="5148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C1E7B"/>
    <w:multiLevelType w:val="multilevel"/>
    <w:tmpl w:val="FE0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D3A7B"/>
    <w:multiLevelType w:val="multilevel"/>
    <w:tmpl w:val="6E4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782B"/>
    <w:multiLevelType w:val="multilevel"/>
    <w:tmpl w:val="A4B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861048">
    <w:abstractNumId w:val="4"/>
  </w:num>
  <w:num w:numId="2" w16cid:durableId="142891298">
    <w:abstractNumId w:val="1"/>
  </w:num>
  <w:num w:numId="3" w16cid:durableId="1519732336">
    <w:abstractNumId w:val="5"/>
  </w:num>
  <w:num w:numId="4" w16cid:durableId="373849541">
    <w:abstractNumId w:val="2"/>
  </w:num>
  <w:num w:numId="5" w16cid:durableId="1307710768">
    <w:abstractNumId w:val="0"/>
  </w:num>
  <w:num w:numId="6" w16cid:durableId="110324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48"/>
    <w:rsid w:val="00087D05"/>
    <w:rsid w:val="000D2E82"/>
    <w:rsid w:val="000E566F"/>
    <w:rsid w:val="00111E7A"/>
    <w:rsid w:val="00113CDC"/>
    <w:rsid w:val="00126C8B"/>
    <w:rsid w:val="00134176"/>
    <w:rsid w:val="001E4FDC"/>
    <w:rsid w:val="002A24B4"/>
    <w:rsid w:val="002D4FA9"/>
    <w:rsid w:val="00316A12"/>
    <w:rsid w:val="00387919"/>
    <w:rsid w:val="00390821"/>
    <w:rsid w:val="003F14F6"/>
    <w:rsid w:val="004070B0"/>
    <w:rsid w:val="004222D5"/>
    <w:rsid w:val="00453316"/>
    <w:rsid w:val="00476BAA"/>
    <w:rsid w:val="004812B4"/>
    <w:rsid w:val="004B5461"/>
    <w:rsid w:val="004C3EB9"/>
    <w:rsid w:val="004E36BD"/>
    <w:rsid w:val="00511425"/>
    <w:rsid w:val="00526CBB"/>
    <w:rsid w:val="005452A6"/>
    <w:rsid w:val="00556919"/>
    <w:rsid w:val="00563608"/>
    <w:rsid w:val="00652BC3"/>
    <w:rsid w:val="00655039"/>
    <w:rsid w:val="00694579"/>
    <w:rsid w:val="00697EFC"/>
    <w:rsid w:val="006A6A9E"/>
    <w:rsid w:val="006B2712"/>
    <w:rsid w:val="0070743B"/>
    <w:rsid w:val="00720662"/>
    <w:rsid w:val="007303C5"/>
    <w:rsid w:val="007B2EB4"/>
    <w:rsid w:val="007C2C73"/>
    <w:rsid w:val="007C728D"/>
    <w:rsid w:val="007E58A0"/>
    <w:rsid w:val="008101C0"/>
    <w:rsid w:val="0087774A"/>
    <w:rsid w:val="008802A8"/>
    <w:rsid w:val="008C7D7C"/>
    <w:rsid w:val="008E4D33"/>
    <w:rsid w:val="00934A93"/>
    <w:rsid w:val="00964F6E"/>
    <w:rsid w:val="009D7570"/>
    <w:rsid w:val="00A923A4"/>
    <w:rsid w:val="00AB75DE"/>
    <w:rsid w:val="00B2598F"/>
    <w:rsid w:val="00BA79F6"/>
    <w:rsid w:val="00BB7F95"/>
    <w:rsid w:val="00BE6ACE"/>
    <w:rsid w:val="00C4207E"/>
    <w:rsid w:val="00C536A9"/>
    <w:rsid w:val="00CF25FE"/>
    <w:rsid w:val="00CF78E0"/>
    <w:rsid w:val="00D31392"/>
    <w:rsid w:val="00D47B48"/>
    <w:rsid w:val="00D64B44"/>
    <w:rsid w:val="00DA2D9E"/>
    <w:rsid w:val="00DD7116"/>
    <w:rsid w:val="00DE1DBB"/>
    <w:rsid w:val="00E33022"/>
    <w:rsid w:val="00E44955"/>
    <w:rsid w:val="00E552A5"/>
    <w:rsid w:val="00E71D48"/>
    <w:rsid w:val="00EA4E48"/>
    <w:rsid w:val="00EF2AE2"/>
    <w:rsid w:val="00F87A67"/>
    <w:rsid w:val="00FF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CBD3"/>
  <w15:chartTrackingRefBased/>
  <w15:docId w15:val="{BA941395-F9C5-458A-BEAC-995BEBB1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48"/>
    <w:rPr>
      <w:rFonts w:eastAsiaTheme="majorEastAsia" w:cstheme="majorBidi"/>
      <w:color w:val="272727" w:themeColor="text1" w:themeTint="D8"/>
    </w:rPr>
  </w:style>
  <w:style w:type="paragraph" w:styleId="Title">
    <w:name w:val="Title"/>
    <w:basedOn w:val="Normal"/>
    <w:next w:val="Normal"/>
    <w:link w:val="TitleChar"/>
    <w:uiPriority w:val="10"/>
    <w:qFormat/>
    <w:rsid w:val="00E7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48"/>
    <w:pPr>
      <w:spacing w:before="160"/>
      <w:jc w:val="center"/>
    </w:pPr>
    <w:rPr>
      <w:i/>
      <w:iCs/>
      <w:color w:val="404040" w:themeColor="text1" w:themeTint="BF"/>
    </w:rPr>
  </w:style>
  <w:style w:type="character" w:customStyle="1" w:styleId="QuoteChar">
    <w:name w:val="Quote Char"/>
    <w:basedOn w:val="DefaultParagraphFont"/>
    <w:link w:val="Quote"/>
    <w:uiPriority w:val="29"/>
    <w:rsid w:val="00E71D48"/>
    <w:rPr>
      <w:i/>
      <w:iCs/>
      <w:color w:val="404040" w:themeColor="text1" w:themeTint="BF"/>
    </w:rPr>
  </w:style>
  <w:style w:type="paragraph" w:styleId="ListParagraph">
    <w:name w:val="List Paragraph"/>
    <w:basedOn w:val="Normal"/>
    <w:uiPriority w:val="34"/>
    <w:qFormat/>
    <w:rsid w:val="00E71D48"/>
    <w:pPr>
      <w:ind w:left="720"/>
      <w:contextualSpacing/>
    </w:pPr>
  </w:style>
  <w:style w:type="character" w:styleId="IntenseEmphasis">
    <w:name w:val="Intense Emphasis"/>
    <w:basedOn w:val="DefaultParagraphFont"/>
    <w:uiPriority w:val="21"/>
    <w:qFormat/>
    <w:rsid w:val="00E71D48"/>
    <w:rPr>
      <w:i/>
      <w:iCs/>
      <w:color w:val="0F4761" w:themeColor="accent1" w:themeShade="BF"/>
    </w:rPr>
  </w:style>
  <w:style w:type="paragraph" w:styleId="IntenseQuote">
    <w:name w:val="Intense Quote"/>
    <w:basedOn w:val="Normal"/>
    <w:next w:val="Normal"/>
    <w:link w:val="IntenseQuoteChar"/>
    <w:uiPriority w:val="30"/>
    <w:qFormat/>
    <w:rsid w:val="00E7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48"/>
    <w:rPr>
      <w:i/>
      <w:iCs/>
      <w:color w:val="0F4761" w:themeColor="accent1" w:themeShade="BF"/>
    </w:rPr>
  </w:style>
  <w:style w:type="character" w:styleId="IntenseReference">
    <w:name w:val="Intense Reference"/>
    <w:basedOn w:val="DefaultParagraphFont"/>
    <w:uiPriority w:val="32"/>
    <w:qFormat/>
    <w:rsid w:val="00E71D48"/>
    <w:rPr>
      <w:b/>
      <w:bCs/>
      <w:smallCaps/>
      <w:color w:val="0F4761" w:themeColor="accent1" w:themeShade="BF"/>
      <w:spacing w:val="5"/>
    </w:rPr>
  </w:style>
  <w:style w:type="table" w:styleId="TableGrid">
    <w:name w:val="Table Grid"/>
    <w:basedOn w:val="TableNormal"/>
    <w:uiPriority w:val="39"/>
    <w:rsid w:val="00E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43B"/>
    <w:rPr>
      <w:rFonts w:ascii="Times New Roman" w:hAnsi="Times New Roman" w:cs="Times New Roman"/>
      <w:sz w:val="24"/>
      <w:szCs w:val="24"/>
    </w:rPr>
  </w:style>
  <w:style w:type="paragraph" w:styleId="Header">
    <w:name w:val="header"/>
    <w:basedOn w:val="Normal"/>
    <w:link w:val="HeaderChar"/>
    <w:uiPriority w:val="99"/>
    <w:unhideWhenUsed/>
    <w:rsid w:val="00BE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CE"/>
  </w:style>
  <w:style w:type="paragraph" w:styleId="Footer">
    <w:name w:val="footer"/>
    <w:basedOn w:val="Normal"/>
    <w:link w:val="FooterChar"/>
    <w:uiPriority w:val="99"/>
    <w:unhideWhenUsed/>
    <w:rsid w:val="00BE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CCE8B-9389-4473-9030-B2C74649FCFE}">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E6D548F5-8D30-487B-B06D-764F9F0A2279}">
  <ds:schemaRefs>
    <ds:schemaRef ds:uri="http://schemas.microsoft.com/sharepoint/v3/contenttype/forms"/>
  </ds:schemaRefs>
</ds:datastoreItem>
</file>

<file path=customXml/itemProps3.xml><?xml version="1.0" encoding="utf-8"?>
<ds:datastoreItem xmlns:ds="http://schemas.openxmlformats.org/officeDocument/2006/customXml" ds:itemID="{59EB8E74-BE56-4110-878F-705953D4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7445</Characters>
  <Application>Microsoft Office Word</Application>
  <DocSecurity>0</DocSecurity>
  <Lines>126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Melanie Palmer</cp:lastModifiedBy>
  <cp:revision>4</cp:revision>
  <dcterms:created xsi:type="dcterms:W3CDTF">2025-09-30T11:55:00Z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