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77777777"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7051DFB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3D32E4">
              <w:rPr>
                <w:rFonts w:ascii="Arial" w:hAnsi="Arial" w:cs="Arial"/>
                <w:bCs/>
              </w:rPr>
              <w:t>Full Council</w:t>
            </w:r>
          </w:p>
        </w:tc>
        <w:tc>
          <w:tcPr>
            <w:tcW w:w="4536" w:type="dxa"/>
            <w:tcBorders>
              <w:bottom w:val="single" w:sz="4" w:space="0" w:color="auto"/>
            </w:tcBorders>
          </w:tcPr>
          <w:p w14:paraId="61D884E6" w14:textId="10155802"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D35767">
              <w:rPr>
                <w:rFonts w:ascii="Arial" w:hAnsi="Arial" w:cs="Arial"/>
                <w:b/>
              </w:rPr>
              <w:t>2</w:t>
            </w:r>
            <w:r w:rsidR="004F045A">
              <w:rPr>
                <w:rFonts w:ascii="Arial" w:hAnsi="Arial" w:cs="Arial"/>
                <w:b/>
              </w:rPr>
              <w:t>1</w:t>
            </w:r>
          </w:p>
        </w:tc>
      </w:tr>
      <w:tr w:rsidR="00E8349F" w14:paraId="47091A02" w14:textId="77777777" w:rsidTr="001E1ECC">
        <w:tc>
          <w:tcPr>
            <w:tcW w:w="4815" w:type="dxa"/>
            <w:tcBorders>
              <w:bottom w:val="single" w:sz="4" w:space="0" w:color="auto"/>
            </w:tcBorders>
          </w:tcPr>
          <w:p w14:paraId="401DF4F2" w14:textId="1AF472B7"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3D32E4" w:rsidRPr="003D32E4">
              <w:rPr>
                <w:rFonts w:ascii="Arial" w:hAnsi="Arial" w:cs="Arial"/>
                <w:bCs/>
              </w:rPr>
              <w:t>08 October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7C57F41B"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3D32E4">
              <w:rPr>
                <w:rFonts w:ascii="Arial" w:hAnsi="Arial" w:cs="Arial"/>
                <w:bCs/>
              </w:rPr>
              <w:t>Cllr Ainsley</w:t>
            </w:r>
          </w:p>
        </w:tc>
        <w:tc>
          <w:tcPr>
            <w:tcW w:w="4536" w:type="dxa"/>
            <w:tcBorders>
              <w:top w:val="single" w:sz="4" w:space="0" w:color="auto"/>
              <w:bottom w:val="single" w:sz="4" w:space="0" w:color="auto"/>
            </w:tcBorders>
          </w:tcPr>
          <w:p w14:paraId="64906631" w14:textId="6981F187" w:rsidR="00E8349F" w:rsidRPr="00004143" w:rsidRDefault="005711C8" w:rsidP="00E8349F">
            <w:pPr>
              <w:rPr>
                <w:rFonts w:ascii="Arial" w:hAnsi="Arial" w:cs="Arial"/>
                <w:b/>
              </w:rPr>
            </w:pPr>
            <w:r>
              <w:rPr>
                <w:rFonts w:ascii="Arial" w:hAnsi="Arial" w:cs="Arial"/>
                <w:b/>
              </w:rPr>
              <w:t xml:space="preserve">Purpose: </w:t>
            </w:r>
            <w:r w:rsidRPr="00437E91">
              <w:rPr>
                <w:rFonts w:ascii="Arial" w:hAnsi="Arial" w:cs="Arial"/>
                <w:sz w:val="22"/>
                <w:szCs w:val="22"/>
              </w:rPr>
              <w:t xml:space="preserve">Decision / </w:t>
            </w:r>
            <w:r w:rsidRPr="003D32E4">
              <w:rPr>
                <w:rFonts w:ascii="Arial" w:hAnsi="Arial" w:cs="Arial"/>
                <w:strike/>
                <w:sz w:val="22"/>
                <w:szCs w:val="22"/>
              </w:rPr>
              <w:t>Discussion / Update</w:t>
            </w:r>
            <w:r>
              <w:rPr>
                <w:rFonts w:ascii="Arial" w:hAnsi="Arial" w:cs="Arial"/>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07E4D5C4"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592D81" w:rsidRPr="00592D81">
              <w:rPr>
                <w:rFonts w:ascii="Arial" w:hAnsi="Arial" w:cs="Arial"/>
                <w:bCs/>
              </w:rPr>
              <w:t>Addition of Appendix 2 and 3 to financial regulations</w:t>
            </w:r>
          </w:p>
        </w:tc>
      </w:tr>
      <w:tr w:rsidR="00E8349F" w14:paraId="46E0336B" w14:textId="77777777" w:rsidTr="009834B8">
        <w:tc>
          <w:tcPr>
            <w:tcW w:w="9351" w:type="dxa"/>
            <w:gridSpan w:val="2"/>
            <w:tcBorders>
              <w:top w:val="single" w:sz="4" w:space="0" w:color="auto"/>
              <w:bottom w:val="single" w:sz="4" w:space="0" w:color="auto"/>
            </w:tcBorders>
          </w:tcPr>
          <w:p w14:paraId="4AD9ED1E" w14:textId="226C8D62" w:rsidR="00D71418" w:rsidRDefault="005711C8" w:rsidP="00D71418">
            <w:pPr>
              <w:rPr>
                <w:rFonts w:ascii="Arial" w:hAnsi="Arial" w:cs="Arial"/>
                <w:b/>
              </w:rPr>
            </w:pPr>
            <w:r>
              <w:rPr>
                <w:rFonts w:ascii="Arial" w:hAnsi="Arial" w:cs="Arial"/>
                <w:b/>
              </w:rPr>
              <w:t>Background</w:t>
            </w:r>
            <w:r w:rsidR="000D0070">
              <w:rPr>
                <w:rFonts w:ascii="Arial" w:hAnsi="Arial" w:cs="Arial"/>
                <w:b/>
              </w:rPr>
              <w:t>:</w:t>
            </w:r>
            <w:r w:rsidR="00B259BD">
              <w:rPr>
                <w:rFonts w:ascii="Arial" w:hAnsi="Arial" w:cs="Arial"/>
                <w:b/>
              </w:rPr>
              <w:br/>
            </w:r>
          </w:p>
          <w:p w14:paraId="698B8681" w14:textId="77777777" w:rsidR="00442F43" w:rsidRDefault="00442F43" w:rsidP="00442F43">
            <w:pPr>
              <w:rPr>
                <w:rFonts w:ascii="Arial" w:hAnsi="Arial" w:cs="Arial"/>
                <w:bCs/>
                <w:lang w:val="en-GB"/>
              </w:rPr>
            </w:pPr>
            <w:r w:rsidRPr="00442F43">
              <w:rPr>
                <w:rFonts w:ascii="Arial" w:hAnsi="Arial" w:cs="Arial"/>
                <w:bCs/>
                <w:lang w:val="en-GB"/>
              </w:rPr>
              <w:t>To strengthen governance and improve procedural clarity, it is proposed that the Financial Regulations be expanded to include two supplementary appendices:</w:t>
            </w:r>
          </w:p>
          <w:p w14:paraId="15E0D655" w14:textId="77777777" w:rsidR="00E82005" w:rsidRPr="00442F43" w:rsidRDefault="00E82005" w:rsidP="00442F43">
            <w:pPr>
              <w:rPr>
                <w:rFonts w:ascii="Arial" w:hAnsi="Arial" w:cs="Arial"/>
                <w:bCs/>
                <w:lang w:val="en-GB"/>
              </w:rPr>
            </w:pPr>
          </w:p>
          <w:p w14:paraId="28B3E146" w14:textId="77777777" w:rsidR="00442F43" w:rsidRPr="00442F43" w:rsidRDefault="00442F43" w:rsidP="00442F43">
            <w:pPr>
              <w:numPr>
                <w:ilvl w:val="0"/>
                <w:numId w:val="69"/>
              </w:numPr>
              <w:rPr>
                <w:rFonts w:ascii="Arial" w:hAnsi="Arial" w:cs="Arial"/>
                <w:lang w:val="en-GB"/>
              </w:rPr>
            </w:pPr>
            <w:r w:rsidRPr="00442F43">
              <w:rPr>
                <w:rFonts w:ascii="Arial" w:hAnsi="Arial" w:cs="Arial"/>
                <w:lang w:val="en-GB"/>
              </w:rPr>
              <w:t>Appendix 2: Authorising Expenditure</w:t>
            </w:r>
          </w:p>
          <w:p w14:paraId="17D60F2D" w14:textId="7B20CA94" w:rsidR="00442F43" w:rsidRPr="00442F43" w:rsidRDefault="00442F43" w:rsidP="00442F43">
            <w:pPr>
              <w:numPr>
                <w:ilvl w:val="0"/>
                <w:numId w:val="69"/>
              </w:numPr>
              <w:rPr>
                <w:rFonts w:ascii="Arial" w:hAnsi="Arial" w:cs="Arial"/>
                <w:bCs/>
                <w:lang w:val="en-GB"/>
              </w:rPr>
            </w:pPr>
            <w:r w:rsidRPr="00442F43">
              <w:rPr>
                <w:rFonts w:ascii="Arial" w:hAnsi="Arial" w:cs="Arial"/>
                <w:lang w:val="en-GB"/>
              </w:rPr>
              <w:t>Appendix 3: Release of Funds for Significant Payments</w:t>
            </w:r>
            <w:r>
              <w:rPr>
                <w:rFonts w:ascii="Arial" w:hAnsi="Arial" w:cs="Arial"/>
                <w:b/>
                <w:bCs/>
                <w:lang w:val="en-GB"/>
              </w:rPr>
              <w:br/>
            </w:r>
          </w:p>
          <w:p w14:paraId="0A10F589" w14:textId="34087CCA" w:rsidR="00442F43" w:rsidRPr="00442F43" w:rsidRDefault="00442F43" w:rsidP="00442F43">
            <w:pPr>
              <w:rPr>
                <w:rFonts w:ascii="Arial" w:hAnsi="Arial" w:cs="Arial"/>
                <w:bCs/>
                <w:lang w:val="en-GB"/>
              </w:rPr>
            </w:pPr>
            <w:r w:rsidRPr="00442F43">
              <w:rPr>
                <w:rFonts w:ascii="Arial" w:hAnsi="Arial" w:cs="Arial"/>
                <w:bCs/>
                <w:lang w:val="en-GB"/>
              </w:rPr>
              <w:t>These additions provide clearer, more structured guidance on the processes for authorising payments and releasing funds, particularly in relation to higher-value transactions.</w:t>
            </w:r>
            <w:r>
              <w:rPr>
                <w:rFonts w:ascii="Arial" w:hAnsi="Arial" w:cs="Arial"/>
                <w:bCs/>
                <w:lang w:val="en-GB"/>
              </w:rPr>
              <w:br/>
            </w:r>
          </w:p>
          <w:p w14:paraId="47A8477C" w14:textId="784728BF" w:rsidR="00442F43" w:rsidRPr="00442F43" w:rsidRDefault="00442F43" w:rsidP="00442F43">
            <w:pPr>
              <w:rPr>
                <w:rFonts w:ascii="Arial" w:hAnsi="Arial" w:cs="Arial"/>
                <w:bCs/>
                <w:lang w:val="en-GB"/>
              </w:rPr>
            </w:pPr>
            <w:r w:rsidRPr="00442F43">
              <w:rPr>
                <w:rFonts w:ascii="Arial" w:hAnsi="Arial" w:cs="Arial"/>
                <w:b/>
                <w:bCs/>
                <w:lang w:val="en-GB"/>
              </w:rPr>
              <w:t>Appendix 2: Authorising Expenditure</w:t>
            </w:r>
            <w:r w:rsidRPr="00442F43">
              <w:rPr>
                <w:rFonts w:ascii="Arial" w:hAnsi="Arial" w:cs="Arial"/>
                <w:bCs/>
                <w:lang w:val="en-GB"/>
              </w:rPr>
              <w:br/>
              <w:t>Before any expenditure is authorised, the Responsible Financial Officer (RFO) must confirm that adequate budgetary provision exists, procurement requirements have been met, supporting documentation is suitable for audit purposes, and that the Council has the legal authority to incur the expenditure.</w:t>
            </w:r>
            <w:r>
              <w:rPr>
                <w:rFonts w:ascii="Arial" w:hAnsi="Arial" w:cs="Arial"/>
                <w:bCs/>
                <w:lang w:val="en-GB"/>
              </w:rPr>
              <w:br/>
            </w:r>
          </w:p>
          <w:p w14:paraId="1DCB3B29" w14:textId="77777777" w:rsidR="00442F43" w:rsidRPr="00442F43" w:rsidRDefault="00442F43" w:rsidP="00442F43">
            <w:pPr>
              <w:rPr>
                <w:rFonts w:ascii="Arial" w:hAnsi="Arial" w:cs="Arial"/>
                <w:bCs/>
                <w:lang w:val="en-GB"/>
              </w:rPr>
            </w:pPr>
            <w:r w:rsidRPr="00442F43">
              <w:rPr>
                <w:rFonts w:ascii="Arial" w:hAnsi="Arial" w:cs="Arial"/>
                <w:b/>
                <w:bCs/>
                <w:lang w:val="en-GB"/>
              </w:rPr>
              <w:t>Appendix 3: Release of Funds for Significant Payments</w:t>
            </w:r>
            <w:r w:rsidRPr="00442F43">
              <w:rPr>
                <w:rFonts w:ascii="Arial" w:hAnsi="Arial" w:cs="Arial"/>
                <w:bCs/>
                <w:lang w:val="en-GB"/>
              </w:rPr>
              <w:br/>
            </w:r>
            <w:proofErr w:type="spellStart"/>
            <w:r w:rsidRPr="00442F43">
              <w:rPr>
                <w:rFonts w:ascii="Arial" w:hAnsi="Arial" w:cs="Arial"/>
                <w:bCs/>
                <w:lang w:val="en-GB"/>
              </w:rPr>
              <w:t>Payments</w:t>
            </w:r>
            <w:proofErr w:type="spellEnd"/>
            <w:r w:rsidRPr="00442F43">
              <w:rPr>
                <w:rFonts w:ascii="Arial" w:hAnsi="Arial" w:cs="Arial"/>
                <w:bCs/>
                <w:lang w:val="en-GB"/>
              </w:rPr>
              <w:t xml:space="preserve"> exceeding £5,000 are subject to enhanced scrutiny and procedural safeguards to uphold transparency, legal compliance, and value for money. Appendix 3 sets out the additional requirements necessary to ensure adherence to regulatory standards.</w:t>
            </w:r>
          </w:p>
          <w:p w14:paraId="718CDEC6" w14:textId="243B2676" w:rsidR="000618A4" w:rsidRDefault="000618A4" w:rsidP="000618A4">
            <w:pPr>
              <w:rPr>
                <w:rFonts w:ascii="Arial" w:hAnsi="Arial" w:cs="Arial"/>
                <w:bCs/>
              </w:rPr>
            </w:pPr>
          </w:p>
          <w:p w14:paraId="118F709F" w14:textId="7621018B" w:rsidR="000618A4" w:rsidRPr="00F47745" w:rsidRDefault="000618A4" w:rsidP="000618A4">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7D36796B" w14:textId="3997D3A6" w:rsidR="000618A4" w:rsidRDefault="0099369F" w:rsidP="000618A4">
            <w:pPr>
              <w:rPr>
                <w:rFonts w:ascii="Arial" w:hAnsi="Arial" w:cs="Arial"/>
                <w:b/>
              </w:rPr>
            </w:pPr>
            <w:r w:rsidRPr="00525283">
              <w:rPr>
                <w:rFonts w:ascii="Arial" w:hAnsi="Arial" w:cs="Arial"/>
                <w:b/>
              </w:rPr>
              <w:t>Proposal:</w:t>
            </w:r>
            <w:r w:rsidR="00442F43">
              <w:rPr>
                <w:rFonts w:ascii="Arial" w:hAnsi="Arial" w:cs="Arial"/>
                <w:b/>
              </w:rPr>
              <w:br/>
            </w:r>
          </w:p>
          <w:p w14:paraId="1048798E" w14:textId="5F54218C" w:rsidR="00442F43" w:rsidRPr="00442F43" w:rsidRDefault="00442F43" w:rsidP="00442F43">
            <w:pPr>
              <w:pStyle w:val="ListParagraph"/>
              <w:numPr>
                <w:ilvl w:val="0"/>
                <w:numId w:val="70"/>
              </w:numPr>
              <w:rPr>
                <w:rFonts w:ascii="Arial" w:hAnsi="Arial" w:cs="Arial"/>
                <w:lang w:val="en-GB"/>
              </w:rPr>
            </w:pPr>
            <w:r w:rsidRPr="00442F43">
              <w:rPr>
                <w:rFonts w:ascii="Arial" w:hAnsi="Arial" w:cs="Arial"/>
                <w:lang w:val="en-GB"/>
              </w:rPr>
              <w:t>That Council resolves to adopt the proposed enhancement of the Financial Regulations through the incorporation of Appendix 2: Authorising Expenditure and Appendix 3: Release of Funds for Significant Payments.</w:t>
            </w:r>
            <w:r>
              <w:rPr>
                <w:rFonts w:ascii="Arial" w:hAnsi="Arial" w:cs="Arial"/>
                <w:lang w:val="en-GB"/>
              </w:rPr>
              <w:br/>
            </w:r>
          </w:p>
          <w:p w14:paraId="476BFB00" w14:textId="77777777" w:rsidR="00442F43" w:rsidRPr="00442F43" w:rsidRDefault="00442F43" w:rsidP="00442F43">
            <w:pPr>
              <w:numPr>
                <w:ilvl w:val="0"/>
                <w:numId w:val="70"/>
              </w:numPr>
              <w:rPr>
                <w:rFonts w:ascii="Arial" w:hAnsi="Arial" w:cs="Arial"/>
                <w:lang w:val="en-GB"/>
              </w:rPr>
            </w:pPr>
            <w:r w:rsidRPr="00442F43">
              <w:rPr>
                <w:rFonts w:ascii="Arial" w:hAnsi="Arial" w:cs="Arial"/>
                <w:lang w:val="en-GB"/>
              </w:rPr>
              <w:t>That Council acknowledges the further amendments to the Financial Regulations, as outlined in the document reference points associated with Appendix 2 and Appendix 3.</w:t>
            </w:r>
          </w:p>
          <w:p w14:paraId="14120D3E" w14:textId="1489149B" w:rsidR="00977490" w:rsidRPr="00525283" w:rsidRDefault="00F47745" w:rsidP="00442F43">
            <w:pPr>
              <w:ind w:left="720"/>
              <w:rPr>
                <w:rFonts w:ascii="Arial" w:hAnsi="Arial" w:cs="Arial"/>
                <w:bCs/>
                <w:lang w:val="en-GB"/>
              </w:rPr>
            </w:pPr>
            <w:r w:rsidRPr="00525283">
              <w:rPr>
                <w:rFonts w:ascii="Arial" w:hAnsi="Arial" w:cs="Arial"/>
                <w:b/>
              </w:rPr>
              <w:br/>
            </w:r>
          </w:p>
        </w:tc>
      </w:tr>
    </w:tbl>
    <w:p w14:paraId="10E4D02C" w14:textId="77777777" w:rsidR="00F35B44" w:rsidRDefault="00F35B44">
      <w:pPr>
        <w:rPr>
          <w:rFonts w:asciiTheme="majorHAnsi" w:hAnsiTheme="majorHAnsi" w:cstheme="majorHAnsi"/>
          <w:bCs/>
        </w:rPr>
      </w:pPr>
    </w:p>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405"/>
        <w:gridCol w:w="851"/>
        <w:gridCol w:w="2268"/>
        <w:gridCol w:w="708"/>
        <w:gridCol w:w="2268"/>
        <w:gridCol w:w="850"/>
      </w:tblGrid>
      <w:tr w:rsidR="00F35B44" w:rsidRPr="00F35B44" w14:paraId="3EEFB021" w14:textId="3F5F1D5C" w:rsidTr="002F4A29">
        <w:tc>
          <w:tcPr>
            <w:tcW w:w="2405" w:type="dxa"/>
          </w:tcPr>
          <w:p w14:paraId="3704DFA3" w14:textId="781FFF1C" w:rsidR="00F35B44" w:rsidRPr="003D5C24" w:rsidRDefault="00F35B44" w:rsidP="0055393D">
            <w:pPr>
              <w:rPr>
                <w:rFonts w:asciiTheme="majorHAnsi" w:hAnsiTheme="majorHAnsi" w:cstheme="majorHAnsi"/>
                <w:bCs/>
                <w:i/>
                <w:iCs/>
              </w:rPr>
            </w:pPr>
            <w:r w:rsidRPr="003D5C24">
              <w:rPr>
                <w:rFonts w:asciiTheme="majorHAnsi" w:hAnsiTheme="majorHAnsi" w:cstheme="majorHAnsi"/>
                <w:bCs/>
                <w:i/>
                <w:iCs/>
              </w:rPr>
              <w:t>Budget Head</w:t>
            </w:r>
            <w:r w:rsidR="005E6E50">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3EF62F7C" w14:textId="4310D766" w:rsidR="00F35B44" w:rsidRPr="00F35B44" w:rsidRDefault="00F35B44" w:rsidP="0055393D">
            <w:pPr>
              <w:rPr>
                <w:rFonts w:asciiTheme="majorHAnsi" w:hAnsiTheme="majorHAnsi" w:cstheme="majorHAnsi"/>
                <w:bCs/>
                <w:sz w:val="20"/>
                <w:szCs w:val="20"/>
              </w:rPr>
            </w:pPr>
          </w:p>
        </w:tc>
      </w:tr>
      <w:tr w:rsidR="004C22BE" w:rsidRPr="00F35B44" w14:paraId="1C973455" w14:textId="05887274" w:rsidTr="002F4A29">
        <w:tc>
          <w:tcPr>
            <w:tcW w:w="2405" w:type="dxa"/>
          </w:tcPr>
          <w:p w14:paraId="0C44C619" w14:textId="4E305F7F" w:rsidR="004C22BE" w:rsidRPr="00F35B44" w:rsidRDefault="000F4388" w:rsidP="004C22BE">
            <w:pPr>
              <w:rPr>
                <w:rFonts w:asciiTheme="majorHAnsi" w:hAnsiTheme="majorHAnsi" w:cstheme="majorHAnsi"/>
                <w:bCs/>
                <w:i/>
                <w:iCs/>
              </w:rPr>
            </w:pPr>
            <w:r>
              <w:rPr>
                <w:rFonts w:asciiTheme="majorHAnsi" w:hAnsiTheme="majorHAnsi" w:cstheme="majorHAnsi"/>
                <w:bCs/>
                <w:i/>
                <w:iCs/>
              </w:rPr>
              <w:t>Propos</w:t>
            </w:r>
            <w:r w:rsidR="002F4A29">
              <w:rPr>
                <w:rFonts w:asciiTheme="majorHAnsi" w:hAnsiTheme="majorHAnsi" w:cstheme="majorHAnsi"/>
                <w:bCs/>
                <w:i/>
                <w:iCs/>
              </w:rPr>
              <w:t>ed</w:t>
            </w:r>
            <w:r>
              <w:rPr>
                <w:rFonts w:asciiTheme="majorHAnsi" w:hAnsiTheme="majorHAnsi" w:cstheme="majorHAnsi"/>
                <w:bCs/>
                <w:i/>
                <w:iCs/>
              </w:rPr>
              <w:t xml:space="preserve"> Expenditure</w:t>
            </w:r>
          </w:p>
        </w:tc>
        <w:tc>
          <w:tcPr>
            <w:tcW w:w="851" w:type="dxa"/>
          </w:tcPr>
          <w:p w14:paraId="457053F8" w14:textId="78243B31" w:rsidR="004C22BE" w:rsidRPr="00F35B44" w:rsidRDefault="004C22BE" w:rsidP="004C22BE">
            <w:pPr>
              <w:rPr>
                <w:rFonts w:asciiTheme="majorHAnsi" w:hAnsiTheme="majorHAnsi" w:cstheme="majorHAnsi"/>
                <w:bCs/>
                <w:i/>
                <w:iCs/>
              </w:rPr>
            </w:pPr>
          </w:p>
        </w:tc>
        <w:tc>
          <w:tcPr>
            <w:tcW w:w="2268" w:type="dxa"/>
          </w:tcPr>
          <w:p w14:paraId="0152355A" w14:textId="507BD9B6"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4C22BE" w:rsidRPr="00F35B44" w:rsidRDefault="004C22BE" w:rsidP="004C22BE">
            <w:pPr>
              <w:rPr>
                <w:rFonts w:asciiTheme="majorHAnsi" w:hAnsiTheme="majorHAnsi" w:cstheme="majorHAnsi"/>
                <w:bCs/>
                <w:i/>
                <w:iCs/>
              </w:rPr>
            </w:pPr>
          </w:p>
        </w:tc>
        <w:tc>
          <w:tcPr>
            <w:tcW w:w="2268" w:type="dxa"/>
          </w:tcPr>
          <w:p w14:paraId="2D20E6AE" w14:textId="3A5C07D7" w:rsidR="004C22BE" w:rsidRPr="00F35B44" w:rsidRDefault="004C22BE" w:rsidP="004C22BE">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4C22BE" w:rsidRPr="00F35B44" w:rsidRDefault="004C22BE" w:rsidP="004C22BE">
            <w:pPr>
              <w:rPr>
                <w:rFonts w:asciiTheme="majorHAnsi" w:hAnsiTheme="majorHAnsi" w:cstheme="majorHAnsi"/>
                <w:bCs/>
                <w:i/>
                <w:iCs/>
              </w:rPr>
            </w:pPr>
          </w:p>
        </w:tc>
      </w:tr>
      <w:tr w:rsidR="004C22BE" w:rsidRPr="00F35B44" w14:paraId="7A17051C" w14:textId="77777777" w:rsidTr="002F4A29">
        <w:tc>
          <w:tcPr>
            <w:tcW w:w="2405" w:type="dxa"/>
          </w:tcPr>
          <w:p w14:paraId="75DCA501" w14:textId="16503875"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20FFD085" w:rsidR="004C22BE" w:rsidRPr="00F35B44" w:rsidRDefault="004C22BE" w:rsidP="004C22BE">
            <w:pPr>
              <w:rPr>
                <w:rFonts w:asciiTheme="majorHAnsi" w:hAnsiTheme="majorHAnsi" w:cstheme="majorHAnsi"/>
                <w:bCs/>
                <w:i/>
                <w:iCs/>
              </w:rPr>
            </w:pPr>
          </w:p>
        </w:tc>
        <w:tc>
          <w:tcPr>
            <w:tcW w:w="2268" w:type="dxa"/>
          </w:tcPr>
          <w:p w14:paraId="6BB8FD26" w14:textId="0F87D833" w:rsidR="004C22BE" w:rsidRPr="00F35B44" w:rsidRDefault="004C22BE" w:rsidP="004C22BE">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10EF52C4" w:rsidR="004C22BE" w:rsidRPr="00F35B44" w:rsidRDefault="004C22BE" w:rsidP="004C22BE">
            <w:pPr>
              <w:rPr>
                <w:rFonts w:asciiTheme="majorHAnsi" w:hAnsiTheme="majorHAnsi" w:cstheme="majorHAnsi"/>
                <w:bCs/>
                <w:i/>
                <w:iCs/>
              </w:rPr>
            </w:pPr>
          </w:p>
        </w:tc>
        <w:tc>
          <w:tcPr>
            <w:tcW w:w="2268" w:type="dxa"/>
          </w:tcPr>
          <w:p w14:paraId="1CCAC169" w14:textId="697DE535" w:rsidR="004C22BE" w:rsidRPr="00F35B44" w:rsidRDefault="004C22BE" w:rsidP="004C22BE">
            <w:pPr>
              <w:rPr>
                <w:rFonts w:asciiTheme="majorHAnsi" w:hAnsiTheme="majorHAnsi" w:cstheme="majorHAnsi"/>
                <w:bCs/>
                <w:i/>
                <w:iCs/>
              </w:rPr>
            </w:pPr>
            <w:r>
              <w:rPr>
                <w:rFonts w:asciiTheme="majorHAnsi" w:hAnsiTheme="majorHAnsi" w:cstheme="majorHAnsi"/>
                <w:bCs/>
                <w:i/>
                <w:iCs/>
              </w:rPr>
              <w:t>Expiry Date</w:t>
            </w:r>
          </w:p>
        </w:tc>
        <w:tc>
          <w:tcPr>
            <w:tcW w:w="850" w:type="dxa"/>
          </w:tcPr>
          <w:p w14:paraId="296A9D08" w14:textId="5F44823A" w:rsidR="004C22BE" w:rsidRPr="00F35B44" w:rsidRDefault="004C22BE" w:rsidP="004C22BE">
            <w:pPr>
              <w:rPr>
                <w:rFonts w:asciiTheme="majorHAnsi" w:hAnsiTheme="majorHAnsi" w:cstheme="majorHAnsi"/>
                <w:bCs/>
                <w:i/>
                <w:iCs/>
              </w:rPr>
            </w:pPr>
          </w:p>
        </w:tc>
      </w:tr>
      <w:bookmarkEnd w:id="0"/>
    </w:tbl>
    <w:p w14:paraId="2F35D014" w14:textId="77777777"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3565B" w14:textId="77777777" w:rsidR="00737811" w:rsidRDefault="00737811" w:rsidP="005E6E50">
      <w:r>
        <w:separator/>
      </w:r>
    </w:p>
  </w:endnote>
  <w:endnote w:type="continuationSeparator" w:id="0">
    <w:p w14:paraId="510197C0" w14:textId="77777777" w:rsidR="00737811" w:rsidRDefault="00737811"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DBA9" w14:textId="77777777" w:rsidR="00737811" w:rsidRDefault="00737811" w:rsidP="005E6E50">
      <w:r>
        <w:separator/>
      </w:r>
    </w:p>
  </w:footnote>
  <w:footnote w:type="continuationSeparator" w:id="0">
    <w:p w14:paraId="022E04C9" w14:textId="77777777" w:rsidR="00737811" w:rsidRDefault="00737811"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667462"/>
    <w:multiLevelType w:val="hybridMultilevel"/>
    <w:tmpl w:val="7B222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F026DA"/>
    <w:multiLevelType w:val="multilevel"/>
    <w:tmpl w:val="597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864EB"/>
    <w:multiLevelType w:val="multilevel"/>
    <w:tmpl w:val="96D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7B161C"/>
    <w:multiLevelType w:val="multilevel"/>
    <w:tmpl w:val="DD4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4844DE"/>
    <w:multiLevelType w:val="multilevel"/>
    <w:tmpl w:val="65E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BBF74D6"/>
    <w:multiLevelType w:val="multilevel"/>
    <w:tmpl w:val="06A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C1782B"/>
    <w:multiLevelType w:val="multilevel"/>
    <w:tmpl w:val="A4B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A6293"/>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2D13D3"/>
    <w:multiLevelType w:val="multilevel"/>
    <w:tmpl w:val="7F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31325A"/>
    <w:multiLevelType w:val="multilevel"/>
    <w:tmpl w:val="C3D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6"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2D6DF0"/>
    <w:multiLevelType w:val="hybridMultilevel"/>
    <w:tmpl w:val="F828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DF664F"/>
    <w:multiLevelType w:val="hybridMultilevel"/>
    <w:tmpl w:val="2B244AA6"/>
    <w:lvl w:ilvl="0" w:tplc="22383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10F2FAD"/>
    <w:multiLevelType w:val="multilevel"/>
    <w:tmpl w:val="56F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450903"/>
    <w:multiLevelType w:val="hybridMultilevel"/>
    <w:tmpl w:val="B286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20"/>
  </w:num>
  <w:num w:numId="2" w16cid:durableId="564101114">
    <w:abstractNumId w:val="51"/>
  </w:num>
  <w:num w:numId="3" w16cid:durableId="846332335">
    <w:abstractNumId w:val="37"/>
  </w:num>
  <w:num w:numId="4" w16cid:durableId="130178000">
    <w:abstractNumId w:val="25"/>
  </w:num>
  <w:num w:numId="5" w16cid:durableId="1062673902">
    <w:abstractNumId w:val="64"/>
  </w:num>
  <w:num w:numId="6" w16cid:durableId="1415977892">
    <w:abstractNumId w:val="32"/>
  </w:num>
  <w:num w:numId="7" w16cid:durableId="903755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45"/>
  </w:num>
  <w:num w:numId="9" w16cid:durableId="1916626580">
    <w:abstractNumId w:val="34"/>
  </w:num>
  <w:num w:numId="10" w16cid:durableId="102111068">
    <w:abstractNumId w:val="23"/>
  </w:num>
  <w:num w:numId="11" w16cid:durableId="784541439">
    <w:abstractNumId w:val="23"/>
  </w:num>
  <w:num w:numId="12" w16cid:durableId="498274257">
    <w:abstractNumId w:val="45"/>
  </w:num>
  <w:num w:numId="13" w16cid:durableId="436219169">
    <w:abstractNumId w:val="40"/>
  </w:num>
  <w:num w:numId="14" w16cid:durableId="2061325875">
    <w:abstractNumId w:val="36"/>
  </w:num>
  <w:num w:numId="15" w16cid:durableId="83577549">
    <w:abstractNumId w:val="24"/>
  </w:num>
  <w:num w:numId="16" w16cid:durableId="1725136788">
    <w:abstractNumId w:val="41"/>
  </w:num>
  <w:num w:numId="17" w16cid:durableId="1108820034">
    <w:abstractNumId w:val="10"/>
  </w:num>
  <w:num w:numId="18" w16cid:durableId="884217037">
    <w:abstractNumId w:val="48"/>
  </w:num>
  <w:num w:numId="19" w16cid:durableId="111749301">
    <w:abstractNumId w:val="66"/>
  </w:num>
  <w:num w:numId="20" w16cid:durableId="1789859175">
    <w:abstractNumId w:val="42"/>
  </w:num>
  <w:num w:numId="21" w16cid:durableId="1889412670">
    <w:abstractNumId w:val="39"/>
  </w:num>
  <w:num w:numId="22" w16cid:durableId="616717614">
    <w:abstractNumId w:val="7"/>
  </w:num>
  <w:num w:numId="23" w16cid:durableId="227766725">
    <w:abstractNumId w:val="9"/>
  </w:num>
  <w:num w:numId="24" w16cid:durableId="1505708487">
    <w:abstractNumId w:val="65"/>
  </w:num>
  <w:num w:numId="25" w16cid:durableId="644746506">
    <w:abstractNumId w:val="53"/>
  </w:num>
  <w:num w:numId="26" w16cid:durableId="2086603745">
    <w:abstractNumId w:val="49"/>
  </w:num>
  <w:num w:numId="27" w16cid:durableId="2131580900">
    <w:abstractNumId w:val="50"/>
  </w:num>
  <w:num w:numId="28" w16cid:durableId="2123331139">
    <w:abstractNumId w:val="5"/>
  </w:num>
  <w:num w:numId="29" w16cid:durableId="2085226078">
    <w:abstractNumId w:val="6"/>
  </w:num>
  <w:num w:numId="30" w16cid:durableId="501238590">
    <w:abstractNumId w:val="8"/>
  </w:num>
  <w:num w:numId="31" w16cid:durableId="903762741">
    <w:abstractNumId w:val="38"/>
  </w:num>
  <w:num w:numId="32" w16cid:durableId="1528370561">
    <w:abstractNumId w:val="16"/>
  </w:num>
  <w:num w:numId="33" w16cid:durableId="969364915">
    <w:abstractNumId w:val="63"/>
  </w:num>
  <w:num w:numId="34" w16cid:durableId="359279031">
    <w:abstractNumId w:val="14"/>
  </w:num>
  <w:num w:numId="35" w16cid:durableId="1930892204">
    <w:abstractNumId w:val="46"/>
  </w:num>
  <w:num w:numId="36" w16cid:durableId="1359350393">
    <w:abstractNumId w:val="22"/>
  </w:num>
  <w:num w:numId="37" w16cid:durableId="1256282504">
    <w:abstractNumId w:val="4"/>
  </w:num>
  <w:num w:numId="38" w16cid:durableId="1884511513">
    <w:abstractNumId w:val="30"/>
  </w:num>
  <w:num w:numId="39" w16cid:durableId="1148472834">
    <w:abstractNumId w:val="54"/>
  </w:num>
  <w:num w:numId="40" w16cid:durableId="2111703091">
    <w:abstractNumId w:val="19"/>
  </w:num>
  <w:num w:numId="41" w16cid:durableId="1715999408">
    <w:abstractNumId w:val="35"/>
  </w:num>
  <w:num w:numId="42" w16cid:durableId="581261104">
    <w:abstractNumId w:val="15"/>
  </w:num>
  <w:num w:numId="43" w16cid:durableId="762383023">
    <w:abstractNumId w:val="27"/>
  </w:num>
  <w:num w:numId="44" w16cid:durableId="300113035">
    <w:abstractNumId w:val="13"/>
  </w:num>
  <w:num w:numId="45" w16cid:durableId="1837913636">
    <w:abstractNumId w:val="58"/>
  </w:num>
  <w:num w:numId="46" w16cid:durableId="360277106">
    <w:abstractNumId w:val="52"/>
  </w:num>
  <w:num w:numId="47" w16cid:durableId="724988193">
    <w:abstractNumId w:val="67"/>
  </w:num>
  <w:num w:numId="48" w16cid:durableId="761687603">
    <w:abstractNumId w:val="29"/>
  </w:num>
  <w:num w:numId="49" w16cid:durableId="788398972">
    <w:abstractNumId w:val="55"/>
  </w:num>
  <w:num w:numId="50" w16cid:durableId="1866598547">
    <w:abstractNumId w:val="21"/>
  </w:num>
  <w:num w:numId="51" w16cid:durableId="1050616693">
    <w:abstractNumId w:val="59"/>
  </w:num>
  <w:num w:numId="52" w16cid:durableId="1263340137">
    <w:abstractNumId w:val="1"/>
  </w:num>
  <w:num w:numId="53" w16cid:durableId="1965260494">
    <w:abstractNumId w:val="60"/>
  </w:num>
  <w:num w:numId="54" w16cid:durableId="1954052270">
    <w:abstractNumId w:val="56"/>
  </w:num>
  <w:num w:numId="55" w16cid:durableId="1604872588">
    <w:abstractNumId w:val="0"/>
  </w:num>
  <w:num w:numId="56" w16cid:durableId="116074106">
    <w:abstractNumId w:val="62"/>
  </w:num>
  <w:num w:numId="57" w16cid:durableId="1087113494">
    <w:abstractNumId w:val="44"/>
  </w:num>
  <w:num w:numId="58" w16cid:durableId="1726369183">
    <w:abstractNumId w:val="43"/>
  </w:num>
  <w:num w:numId="59" w16cid:durableId="1237324150">
    <w:abstractNumId w:val="18"/>
  </w:num>
  <w:num w:numId="60" w16cid:durableId="1560941706">
    <w:abstractNumId w:val="11"/>
  </w:num>
  <w:num w:numId="61" w16cid:durableId="294213164">
    <w:abstractNumId w:val="26"/>
  </w:num>
  <w:num w:numId="62" w16cid:durableId="1391885173">
    <w:abstractNumId w:val="47"/>
  </w:num>
  <w:num w:numId="63" w16cid:durableId="1974363029">
    <w:abstractNumId w:val="57"/>
  </w:num>
  <w:num w:numId="64" w16cid:durableId="906453999">
    <w:abstractNumId w:val="61"/>
  </w:num>
  <w:num w:numId="65" w16cid:durableId="337199421">
    <w:abstractNumId w:val="17"/>
  </w:num>
  <w:num w:numId="66" w16cid:durableId="1918324810">
    <w:abstractNumId w:val="3"/>
  </w:num>
  <w:num w:numId="67" w16cid:durableId="2048288392">
    <w:abstractNumId w:val="31"/>
  </w:num>
  <w:num w:numId="68" w16cid:durableId="1379544773">
    <w:abstractNumId w:val="2"/>
  </w:num>
  <w:num w:numId="69" w16cid:durableId="1519732336">
    <w:abstractNumId w:val="28"/>
  </w:num>
  <w:num w:numId="70" w16cid:durableId="1763186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67A"/>
    <w:rsid w:val="000129FC"/>
    <w:rsid w:val="000139F8"/>
    <w:rsid w:val="00053541"/>
    <w:rsid w:val="000618A4"/>
    <w:rsid w:val="00061932"/>
    <w:rsid w:val="00062D80"/>
    <w:rsid w:val="00064BD5"/>
    <w:rsid w:val="00073DF1"/>
    <w:rsid w:val="000846DE"/>
    <w:rsid w:val="00087C83"/>
    <w:rsid w:val="0009072B"/>
    <w:rsid w:val="000A11F9"/>
    <w:rsid w:val="000A68C5"/>
    <w:rsid w:val="000A70DF"/>
    <w:rsid w:val="000A7F9B"/>
    <w:rsid w:val="000B12C3"/>
    <w:rsid w:val="000B65ED"/>
    <w:rsid w:val="000D0070"/>
    <w:rsid w:val="000E6A43"/>
    <w:rsid w:val="000E6BD3"/>
    <w:rsid w:val="000E7E9A"/>
    <w:rsid w:val="000F4388"/>
    <w:rsid w:val="000F6C63"/>
    <w:rsid w:val="00105A1A"/>
    <w:rsid w:val="00112076"/>
    <w:rsid w:val="0012353D"/>
    <w:rsid w:val="00125FBF"/>
    <w:rsid w:val="0016042F"/>
    <w:rsid w:val="0018478B"/>
    <w:rsid w:val="00186519"/>
    <w:rsid w:val="00191A6A"/>
    <w:rsid w:val="00194A2B"/>
    <w:rsid w:val="001A4C7F"/>
    <w:rsid w:val="001A7D29"/>
    <w:rsid w:val="001B4EF1"/>
    <w:rsid w:val="001E1ECC"/>
    <w:rsid w:val="001F2550"/>
    <w:rsid w:val="001F4719"/>
    <w:rsid w:val="002061B8"/>
    <w:rsid w:val="0021147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C2933"/>
    <w:rsid w:val="003C3ADA"/>
    <w:rsid w:val="003C6C34"/>
    <w:rsid w:val="003C75EC"/>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42F43"/>
    <w:rsid w:val="004550DE"/>
    <w:rsid w:val="004558CD"/>
    <w:rsid w:val="00461B55"/>
    <w:rsid w:val="00462A57"/>
    <w:rsid w:val="00462FA2"/>
    <w:rsid w:val="004631B1"/>
    <w:rsid w:val="00463C07"/>
    <w:rsid w:val="00486DE2"/>
    <w:rsid w:val="00496E9B"/>
    <w:rsid w:val="004A0274"/>
    <w:rsid w:val="004A3151"/>
    <w:rsid w:val="004B6A67"/>
    <w:rsid w:val="004C22BE"/>
    <w:rsid w:val="004C7DEB"/>
    <w:rsid w:val="004E6990"/>
    <w:rsid w:val="004F045A"/>
    <w:rsid w:val="004F2121"/>
    <w:rsid w:val="004F58B8"/>
    <w:rsid w:val="005070EE"/>
    <w:rsid w:val="00514CAE"/>
    <w:rsid w:val="0051510A"/>
    <w:rsid w:val="00525283"/>
    <w:rsid w:val="005359B9"/>
    <w:rsid w:val="005509AA"/>
    <w:rsid w:val="00552F03"/>
    <w:rsid w:val="0055393D"/>
    <w:rsid w:val="005549C4"/>
    <w:rsid w:val="00566108"/>
    <w:rsid w:val="005711C8"/>
    <w:rsid w:val="00577270"/>
    <w:rsid w:val="0057748C"/>
    <w:rsid w:val="00587CB8"/>
    <w:rsid w:val="00592D81"/>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4FCF"/>
    <w:rsid w:val="00615273"/>
    <w:rsid w:val="00620F1D"/>
    <w:rsid w:val="0062383F"/>
    <w:rsid w:val="0062651F"/>
    <w:rsid w:val="0063380B"/>
    <w:rsid w:val="00653319"/>
    <w:rsid w:val="00656423"/>
    <w:rsid w:val="006618E9"/>
    <w:rsid w:val="00661D34"/>
    <w:rsid w:val="00661FF5"/>
    <w:rsid w:val="00671981"/>
    <w:rsid w:val="00674545"/>
    <w:rsid w:val="0068292B"/>
    <w:rsid w:val="00693068"/>
    <w:rsid w:val="006A0F46"/>
    <w:rsid w:val="006B5EF9"/>
    <w:rsid w:val="006B6D57"/>
    <w:rsid w:val="006C1A52"/>
    <w:rsid w:val="006D0D2E"/>
    <w:rsid w:val="006E0DF2"/>
    <w:rsid w:val="006E6C50"/>
    <w:rsid w:val="006F22BC"/>
    <w:rsid w:val="006F4CAD"/>
    <w:rsid w:val="00702E05"/>
    <w:rsid w:val="00711A49"/>
    <w:rsid w:val="007155F3"/>
    <w:rsid w:val="00720EF0"/>
    <w:rsid w:val="00731316"/>
    <w:rsid w:val="00731A0E"/>
    <w:rsid w:val="00737811"/>
    <w:rsid w:val="00746133"/>
    <w:rsid w:val="007517E5"/>
    <w:rsid w:val="00755EB9"/>
    <w:rsid w:val="007937B6"/>
    <w:rsid w:val="00797C3B"/>
    <w:rsid w:val="007A1876"/>
    <w:rsid w:val="007A5A44"/>
    <w:rsid w:val="007B3613"/>
    <w:rsid w:val="007C01F0"/>
    <w:rsid w:val="007D2464"/>
    <w:rsid w:val="007D4877"/>
    <w:rsid w:val="007D589E"/>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4B8A"/>
    <w:rsid w:val="00A95EB7"/>
    <w:rsid w:val="00AB72D2"/>
    <w:rsid w:val="00AC469B"/>
    <w:rsid w:val="00AD11C9"/>
    <w:rsid w:val="00AD2C70"/>
    <w:rsid w:val="00AD3D52"/>
    <w:rsid w:val="00AE11AE"/>
    <w:rsid w:val="00AF1C6C"/>
    <w:rsid w:val="00AF6643"/>
    <w:rsid w:val="00B14242"/>
    <w:rsid w:val="00B145A0"/>
    <w:rsid w:val="00B1760B"/>
    <w:rsid w:val="00B20612"/>
    <w:rsid w:val="00B259BD"/>
    <w:rsid w:val="00B33743"/>
    <w:rsid w:val="00B432C7"/>
    <w:rsid w:val="00B444F7"/>
    <w:rsid w:val="00B5468B"/>
    <w:rsid w:val="00B6153E"/>
    <w:rsid w:val="00B649B0"/>
    <w:rsid w:val="00B65DDB"/>
    <w:rsid w:val="00B669A5"/>
    <w:rsid w:val="00B75B21"/>
    <w:rsid w:val="00B85733"/>
    <w:rsid w:val="00B91CBB"/>
    <w:rsid w:val="00B93DA7"/>
    <w:rsid w:val="00BA479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35767"/>
    <w:rsid w:val="00D42C36"/>
    <w:rsid w:val="00D47E01"/>
    <w:rsid w:val="00D533EB"/>
    <w:rsid w:val="00D71418"/>
    <w:rsid w:val="00D753E1"/>
    <w:rsid w:val="00D76AFE"/>
    <w:rsid w:val="00D76FCD"/>
    <w:rsid w:val="00D80898"/>
    <w:rsid w:val="00D91E8F"/>
    <w:rsid w:val="00D92B17"/>
    <w:rsid w:val="00D940A8"/>
    <w:rsid w:val="00D95157"/>
    <w:rsid w:val="00DA3790"/>
    <w:rsid w:val="00DB6171"/>
    <w:rsid w:val="00DB7FF9"/>
    <w:rsid w:val="00DD2E58"/>
    <w:rsid w:val="00DD43C6"/>
    <w:rsid w:val="00E02D40"/>
    <w:rsid w:val="00E04E19"/>
    <w:rsid w:val="00E117A0"/>
    <w:rsid w:val="00E17210"/>
    <w:rsid w:val="00E23847"/>
    <w:rsid w:val="00E279D3"/>
    <w:rsid w:val="00E558E7"/>
    <w:rsid w:val="00E616E0"/>
    <w:rsid w:val="00E82005"/>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2C18A-8D3E-4C40-9B78-B8E11030A03B}">
  <ds:schemaRefs>
    <ds:schemaRef ds:uri="http://schemas.microsoft.com/sharepoint/v3/contenttype/forms"/>
  </ds:schemaRefs>
</ds:datastoreItem>
</file>

<file path=customXml/itemProps2.xml><?xml version="1.0" encoding="utf-8"?>
<ds:datastoreItem xmlns:ds="http://schemas.openxmlformats.org/officeDocument/2006/customXml" ds:itemID="{03F76EA9-8F48-4CC2-87C3-300F67D81365}">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8D3BB4E1-277A-44FE-95CE-7771C803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255</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7</cp:revision>
  <cp:lastPrinted>2024-06-20T14:01:00Z</cp:lastPrinted>
  <dcterms:created xsi:type="dcterms:W3CDTF">2025-09-18T12:45:00Z</dcterms:created>
  <dcterms:modified xsi:type="dcterms:W3CDTF">2025-10-02T13:31:00Z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