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77777777" w:rsidR="00C40974" w:rsidRDefault="00C40974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445A050B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1E1ECC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0115E225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1B0735">
              <w:rPr>
                <w:rFonts w:ascii="Arial" w:hAnsi="Arial" w:cs="Arial"/>
                <w:b/>
              </w:rPr>
              <w:t>1</w:t>
            </w:r>
            <w:r w:rsidR="003544EB">
              <w:rPr>
                <w:rFonts w:ascii="Arial" w:hAnsi="Arial" w:cs="Arial"/>
                <w:b/>
              </w:rPr>
              <w:t>4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2F63C49B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EC52AE">
              <w:rPr>
                <w:rFonts w:ascii="Arial" w:hAnsi="Arial" w:cs="Arial"/>
                <w:bCs/>
              </w:rPr>
              <w:t xml:space="preserve">08 </w:t>
            </w:r>
            <w:r w:rsidR="001634CC">
              <w:rPr>
                <w:rFonts w:ascii="Arial" w:hAnsi="Arial" w:cs="Arial"/>
                <w:bCs/>
              </w:rPr>
              <w:t>October</w:t>
            </w:r>
            <w:r w:rsidR="00501F15">
              <w:rPr>
                <w:rFonts w:ascii="Arial" w:hAnsi="Arial" w:cs="Arial"/>
                <w:bCs/>
              </w:rPr>
              <w:t xml:space="preserve"> 2025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FB5CB0">
        <w:trPr>
          <w:trHeight w:val="377"/>
        </w:trPr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1B8E5FE2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3544EB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51D289B9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3544EB">
              <w:rPr>
                <w:rFonts w:ascii="Arial" w:hAnsi="Arial" w:cs="Arial"/>
                <w:bCs/>
              </w:rPr>
              <w:t>External Audit report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68797A88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DB47DA">
              <w:rPr>
                <w:rFonts w:ascii="Arial" w:hAnsi="Arial" w:cs="Arial"/>
                <w:b/>
              </w:rPr>
              <w:t>External Audit Report review</w:t>
            </w: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8F709F" w14:textId="762D3D18" w:rsidR="00C3628E" w:rsidRPr="002D0113" w:rsidRDefault="00C3628E" w:rsidP="00C01E4B">
            <w:pPr>
              <w:rPr>
                <w:rFonts w:ascii="Arial" w:hAnsi="Arial" w:cs="Arial"/>
                <w:bCs/>
              </w:rPr>
            </w:pP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0DDE35" w14:textId="77777777" w:rsidR="00BF0B1F" w:rsidRDefault="00BF0B1F" w:rsidP="00D71418">
            <w:pPr>
              <w:rPr>
                <w:rFonts w:ascii="Arial" w:hAnsi="Arial" w:cs="Arial"/>
                <w:b/>
              </w:rPr>
            </w:pPr>
          </w:p>
          <w:p w14:paraId="13115C23" w14:textId="77777777" w:rsidR="00BF0B1F" w:rsidRDefault="00BF0B1F" w:rsidP="00D71418">
            <w:pPr>
              <w:rPr>
                <w:rFonts w:ascii="Arial" w:hAnsi="Arial" w:cs="Arial"/>
                <w:b/>
              </w:rPr>
            </w:pPr>
          </w:p>
          <w:p w14:paraId="34740A6A" w14:textId="594F44C3" w:rsidR="00562193" w:rsidRDefault="0091492D" w:rsidP="00D71418">
            <w:pPr>
              <w:rPr>
                <w:rFonts w:ascii="Arial" w:hAnsi="Arial" w:cs="Arial"/>
                <w:bCs/>
              </w:rPr>
            </w:pPr>
            <w:r w:rsidRPr="00BF0B1F">
              <w:rPr>
                <w:rFonts w:ascii="Arial" w:hAnsi="Arial" w:cs="Arial"/>
                <w:bCs/>
              </w:rPr>
              <w:t>This report has raised several issues which are mainly administrative</w:t>
            </w:r>
            <w:r w:rsidR="00BF0B1F" w:rsidRPr="00BF0B1F">
              <w:rPr>
                <w:rFonts w:ascii="Arial" w:hAnsi="Arial" w:cs="Arial"/>
                <w:bCs/>
              </w:rPr>
              <w:t>, and quite often due to the shortage of staff at a crucial time of the financial year.</w:t>
            </w:r>
            <w:r w:rsidR="00562193" w:rsidRPr="00BF0B1F">
              <w:rPr>
                <w:rFonts w:ascii="Arial" w:hAnsi="Arial" w:cs="Arial"/>
                <w:bCs/>
              </w:rPr>
              <w:br/>
            </w:r>
          </w:p>
          <w:p w14:paraId="0983E32A" w14:textId="77777777" w:rsidR="00BF0B1F" w:rsidRDefault="00BF0B1F" w:rsidP="00D71418">
            <w:pPr>
              <w:rPr>
                <w:rFonts w:ascii="Arial" w:hAnsi="Arial" w:cs="Arial"/>
                <w:bCs/>
              </w:rPr>
            </w:pPr>
          </w:p>
          <w:p w14:paraId="069B458A" w14:textId="77777777" w:rsidR="00BF0B1F" w:rsidRDefault="00BF0B1F" w:rsidP="00D71418">
            <w:pPr>
              <w:rPr>
                <w:rFonts w:ascii="Arial" w:hAnsi="Arial" w:cs="Arial"/>
                <w:bCs/>
              </w:rPr>
            </w:pPr>
          </w:p>
          <w:p w14:paraId="7565CBF2" w14:textId="77777777" w:rsidR="00BF0B1F" w:rsidRPr="00BF0B1F" w:rsidRDefault="00BF0B1F" w:rsidP="00D71418">
            <w:pPr>
              <w:rPr>
                <w:rFonts w:ascii="Arial" w:hAnsi="Arial" w:cs="Arial"/>
                <w:bCs/>
              </w:rPr>
            </w:pPr>
          </w:p>
          <w:p w14:paraId="14120D3E" w14:textId="3109B9EF" w:rsidR="00977490" w:rsidRPr="00DA0349" w:rsidRDefault="00575E4A" w:rsidP="003544EB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DA0349">
              <w:rPr>
                <w:rFonts w:ascii="Arial" w:hAnsi="Arial" w:cs="Arial"/>
                <w:b/>
                <w:bCs/>
              </w:rPr>
              <w:t>Prop</w:t>
            </w:r>
            <w:r w:rsidR="00D9030B" w:rsidRPr="00DA0349">
              <w:rPr>
                <w:rFonts w:ascii="Arial" w:hAnsi="Arial" w:cs="Arial"/>
                <w:b/>
                <w:bCs/>
              </w:rPr>
              <w:t xml:space="preserve">osal that the Council notes the report and that the Finance Working Group now with the </w:t>
            </w:r>
            <w:r w:rsidR="00554384" w:rsidRPr="00DA0349">
              <w:rPr>
                <w:rFonts w:ascii="Arial" w:hAnsi="Arial" w:cs="Arial"/>
                <w:b/>
                <w:bCs/>
              </w:rPr>
              <w:t>Office staff addresses the issues in the report</w:t>
            </w:r>
            <w:r w:rsidR="00DA0349" w:rsidRPr="00DA0349">
              <w:rPr>
                <w:rFonts w:ascii="Arial" w:hAnsi="Arial" w:cs="Arial"/>
                <w:b/>
                <w:bCs/>
              </w:rPr>
              <w:t>s and then brings recommendations back to Full Council.</w:t>
            </w: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4310D766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DC149" w14:textId="77777777" w:rsidR="00835708" w:rsidRDefault="00835708" w:rsidP="005E6E50">
      <w:r>
        <w:separator/>
      </w:r>
    </w:p>
  </w:endnote>
  <w:endnote w:type="continuationSeparator" w:id="0">
    <w:p w14:paraId="0ED7F113" w14:textId="77777777" w:rsidR="00835708" w:rsidRDefault="00835708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D5AE5" w14:textId="77777777" w:rsidR="00835708" w:rsidRDefault="00835708" w:rsidP="005E6E50">
      <w:r>
        <w:separator/>
      </w:r>
    </w:p>
  </w:footnote>
  <w:footnote w:type="continuationSeparator" w:id="0">
    <w:p w14:paraId="079CD220" w14:textId="77777777" w:rsidR="00835708" w:rsidRDefault="00835708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C58DA"/>
    <w:multiLevelType w:val="hybridMultilevel"/>
    <w:tmpl w:val="F4340DE0"/>
    <w:lvl w:ilvl="0" w:tplc="DAB4E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35523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1F04"/>
    <w:rsid w:val="000129FC"/>
    <w:rsid w:val="000139F8"/>
    <w:rsid w:val="00061932"/>
    <w:rsid w:val="00064BD5"/>
    <w:rsid w:val="0007164B"/>
    <w:rsid w:val="000846DE"/>
    <w:rsid w:val="00087C83"/>
    <w:rsid w:val="0009072B"/>
    <w:rsid w:val="000A11F9"/>
    <w:rsid w:val="000A68C5"/>
    <w:rsid w:val="000A7F9B"/>
    <w:rsid w:val="000B12C3"/>
    <w:rsid w:val="000B65ED"/>
    <w:rsid w:val="000C44F3"/>
    <w:rsid w:val="000D0070"/>
    <w:rsid w:val="000E6A43"/>
    <w:rsid w:val="000E7E9A"/>
    <w:rsid w:val="000F4388"/>
    <w:rsid w:val="000F6C63"/>
    <w:rsid w:val="00105A1A"/>
    <w:rsid w:val="00112076"/>
    <w:rsid w:val="0012353D"/>
    <w:rsid w:val="00125FBF"/>
    <w:rsid w:val="0016042F"/>
    <w:rsid w:val="001634CC"/>
    <w:rsid w:val="0018478B"/>
    <w:rsid w:val="00186519"/>
    <w:rsid w:val="00191A6A"/>
    <w:rsid w:val="00194A2B"/>
    <w:rsid w:val="001A4C7F"/>
    <w:rsid w:val="001A7D29"/>
    <w:rsid w:val="001B0735"/>
    <w:rsid w:val="001B4EF1"/>
    <w:rsid w:val="001E1ECC"/>
    <w:rsid w:val="001F2550"/>
    <w:rsid w:val="001F4719"/>
    <w:rsid w:val="002061B8"/>
    <w:rsid w:val="0021147D"/>
    <w:rsid w:val="00221B6C"/>
    <w:rsid w:val="00222CD6"/>
    <w:rsid w:val="00233093"/>
    <w:rsid w:val="0023411B"/>
    <w:rsid w:val="00236A3D"/>
    <w:rsid w:val="00246A00"/>
    <w:rsid w:val="0025036C"/>
    <w:rsid w:val="00252FE2"/>
    <w:rsid w:val="00256C66"/>
    <w:rsid w:val="00257C87"/>
    <w:rsid w:val="002737F7"/>
    <w:rsid w:val="00290AD6"/>
    <w:rsid w:val="002A2957"/>
    <w:rsid w:val="002A46D2"/>
    <w:rsid w:val="002B0C09"/>
    <w:rsid w:val="002B524B"/>
    <w:rsid w:val="002B769A"/>
    <w:rsid w:val="002C6AC3"/>
    <w:rsid w:val="002D0113"/>
    <w:rsid w:val="002F4A29"/>
    <w:rsid w:val="00304AD4"/>
    <w:rsid w:val="00304EBA"/>
    <w:rsid w:val="0030531D"/>
    <w:rsid w:val="0031300F"/>
    <w:rsid w:val="00315153"/>
    <w:rsid w:val="00317704"/>
    <w:rsid w:val="003229AD"/>
    <w:rsid w:val="003400C5"/>
    <w:rsid w:val="003544EB"/>
    <w:rsid w:val="00367D75"/>
    <w:rsid w:val="00374A42"/>
    <w:rsid w:val="00384AE7"/>
    <w:rsid w:val="003918C4"/>
    <w:rsid w:val="00393992"/>
    <w:rsid w:val="003B0C4F"/>
    <w:rsid w:val="003B1022"/>
    <w:rsid w:val="003B2E10"/>
    <w:rsid w:val="003C2933"/>
    <w:rsid w:val="003C3ADA"/>
    <w:rsid w:val="003C6C34"/>
    <w:rsid w:val="003D0AE8"/>
    <w:rsid w:val="003D20F6"/>
    <w:rsid w:val="003D496A"/>
    <w:rsid w:val="003D5C24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550DE"/>
    <w:rsid w:val="004558CD"/>
    <w:rsid w:val="00461B55"/>
    <w:rsid w:val="00462A57"/>
    <w:rsid w:val="00462FA2"/>
    <w:rsid w:val="004631B1"/>
    <w:rsid w:val="00463C07"/>
    <w:rsid w:val="00471246"/>
    <w:rsid w:val="00475848"/>
    <w:rsid w:val="00486DE2"/>
    <w:rsid w:val="00496E9B"/>
    <w:rsid w:val="004A0274"/>
    <w:rsid w:val="004A3151"/>
    <w:rsid w:val="004B6A67"/>
    <w:rsid w:val="004C22BE"/>
    <w:rsid w:val="004C7DEB"/>
    <w:rsid w:val="004E6990"/>
    <w:rsid w:val="004F2121"/>
    <w:rsid w:val="004F58B8"/>
    <w:rsid w:val="00501F15"/>
    <w:rsid w:val="005070EE"/>
    <w:rsid w:val="00514CAE"/>
    <w:rsid w:val="0051510A"/>
    <w:rsid w:val="005359B9"/>
    <w:rsid w:val="005509AA"/>
    <w:rsid w:val="00552F03"/>
    <w:rsid w:val="0055393D"/>
    <w:rsid w:val="00554108"/>
    <w:rsid w:val="005542FB"/>
    <w:rsid w:val="00554384"/>
    <w:rsid w:val="005549C4"/>
    <w:rsid w:val="00562193"/>
    <w:rsid w:val="00566108"/>
    <w:rsid w:val="00575E4A"/>
    <w:rsid w:val="00577270"/>
    <w:rsid w:val="0057748C"/>
    <w:rsid w:val="00587CB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74545"/>
    <w:rsid w:val="0068292B"/>
    <w:rsid w:val="00693068"/>
    <w:rsid w:val="006A0F46"/>
    <w:rsid w:val="006B5EF9"/>
    <w:rsid w:val="006B6D57"/>
    <w:rsid w:val="006C1A52"/>
    <w:rsid w:val="006D0D2E"/>
    <w:rsid w:val="006E0DF2"/>
    <w:rsid w:val="006F22BC"/>
    <w:rsid w:val="006F4CAD"/>
    <w:rsid w:val="00702E05"/>
    <w:rsid w:val="00711A49"/>
    <w:rsid w:val="007155F3"/>
    <w:rsid w:val="00720EF0"/>
    <w:rsid w:val="00731316"/>
    <w:rsid w:val="00731A0E"/>
    <w:rsid w:val="00746133"/>
    <w:rsid w:val="00755EB9"/>
    <w:rsid w:val="007771D0"/>
    <w:rsid w:val="007937B6"/>
    <w:rsid w:val="00797C3B"/>
    <w:rsid w:val="007A0DA4"/>
    <w:rsid w:val="007A1876"/>
    <w:rsid w:val="007A5A44"/>
    <w:rsid w:val="007B3613"/>
    <w:rsid w:val="007C01F0"/>
    <w:rsid w:val="007D2464"/>
    <w:rsid w:val="007D4877"/>
    <w:rsid w:val="007D589E"/>
    <w:rsid w:val="007F50C9"/>
    <w:rsid w:val="00800E88"/>
    <w:rsid w:val="008079A5"/>
    <w:rsid w:val="00815AC3"/>
    <w:rsid w:val="00817590"/>
    <w:rsid w:val="00823F31"/>
    <w:rsid w:val="00835708"/>
    <w:rsid w:val="00854097"/>
    <w:rsid w:val="00860781"/>
    <w:rsid w:val="00860F21"/>
    <w:rsid w:val="00866BC0"/>
    <w:rsid w:val="008709FD"/>
    <w:rsid w:val="00881D20"/>
    <w:rsid w:val="00893030"/>
    <w:rsid w:val="00894BEE"/>
    <w:rsid w:val="008A2F35"/>
    <w:rsid w:val="008A4B92"/>
    <w:rsid w:val="008C22A3"/>
    <w:rsid w:val="008C2845"/>
    <w:rsid w:val="008D0DF2"/>
    <w:rsid w:val="008D1AA9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1492D"/>
    <w:rsid w:val="00921A18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2150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62EFA"/>
    <w:rsid w:val="00A65963"/>
    <w:rsid w:val="00A670A0"/>
    <w:rsid w:val="00A77A84"/>
    <w:rsid w:val="00A824D2"/>
    <w:rsid w:val="00A825A8"/>
    <w:rsid w:val="00AB72D2"/>
    <w:rsid w:val="00AC469B"/>
    <w:rsid w:val="00AD11C9"/>
    <w:rsid w:val="00AD2C70"/>
    <w:rsid w:val="00AD3D52"/>
    <w:rsid w:val="00AE11AE"/>
    <w:rsid w:val="00AF1C6C"/>
    <w:rsid w:val="00AF2CD2"/>
    <w:rsid w:val="00AF6643"/>
    <w:rsid w:val="00B14242"/>
    <w:rsid w:val="00B1760B"/>
    <w:rsid w:val="00B20612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A4797"/>
    <w:rsid w:val="00BA6C7F"/>
    <w:rsid w:val="00BA7227"/>
    <w:rsid w:val="00BB355D"/>
    <w:rsid w:val="00BC7A38"/>
    <w:rsid w:val="00BD62C0"/>
    <w:rsid w:val="00BD75F8"/>
    <w:rsid w:val="00BF0B1F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74677"/>
    <w:rsid w:val="00C766E9"/>
    <w:rsid w:val="00C901E8"/>
    <w:rsid w:val="00CA08F5"/>
    <w:rsid w:val="00CA44ED"/>
    <w:rsid w:val="00CB2546"/>
    <w:rsid w:val="00CB2B57"/>
    <w:rsid w:val="00CB4248"/>
    <w:rsid w:val="00CD519B"/>
    <w:rsid w:val="00CF2285"/>
    <w:rsid w:val="00D02A26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030B"/>
    <w:rsid w:val="00D91E8F"/>
    <w:rsid w:val="00D92B17"/>
    <w:rsid w:val="00D940A8"/>
    <w:rsid w:val="00D95157"/>
    <w:rsid w:val="00DA0349"/>
    <w:rsid w:val="00DA3790"/>
    <w:rsid w:val="00DB47DA"/>
    <w:rsid w:val="00DB6171"/>
    <w:rsid w:val="00DB7FF9"/>
    <w:rsid w:val="00DD2E58"/>
    <w:rsid w:val="00DD43C6"/>
    <w:rsid w:val="00DE2275"/>
    <w:rsid w:val="00E02D40"/>
    <w:rsid w:val="00E04E19"/>
    <w:rsid w:val="00E117A0"/>
    <w:rsid w:val="00E17210"/>
    <w:rsid w:val="00E23847"/>
    <w:rsid w:val="00E279D3"/>
    <w:rsid w:val="00E558E7"/>
    <w:rsid w:val="00E82E24"/>
    <w:rsid w:val="00E8349F"/>
    <w:rsid w:val="00E91C0C"/>
    <w:rsid w:val="00EB7A50"/>
    <w:rsid w:val="00EC52AE"/>
    <w:rsid w:val="00ED51D7"/>
    <w:rsid w:val="00EF64B7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514A7"/>
    <w:rsid w:val="00F52C4D"/>
    <w:rsid w:val="00F6505F"/>
    <w:rsid w:val="00F6668D"/>
    <w:rsid w:val="00F763A3"/>
    <w:rsid w:val="00F77AE4"/>
    <w:rsid w:val="00F81976"/>
    <w:rsid w:val="00F827FF"/>
    <w:rsid w:val="00F87A0C"/>
    <w:rsid w:val="00FA3EAE"/>
    <w:rsid w:val="00FA5366"/>
    <w:rsid w:val="00FB5A3B"/>
    <w:rsid w:val="00FB5CB0"/>
    <w:rsid w:val="00FB7742"/>
    <w:rsid w:val="00FC50AA"/>
    <w:rsid w:val="00FD6B5E"/>
    <w:rsid w:val="00FE31EB"/>
    <w:rsid w:val="00FE4220"/>
    <w:rsid w:val="00FE4FD5"/>
    <w:rsid w:val="00FE61F6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b60e6556250455b6bbd42c3eb6ce1e7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5ebc9080a16bc614b8e8d277560ab230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86441-F298-4E98-8037-A33B7DD69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6E981-25B2-4B04-B74E-0D4ED955E388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09B326C3-1A01-4C5A-AC46-2EAC301CA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3</cp:revision>
  <cp:lastPrinted>2025-10-02T13:20:00Z</cp:lastPrinted>
  <dcterms:created xsi:type="dcterms:W3CDTF">2025-09-30T13:50:00Z</dcterms:created>
  <dcterms:modified xsi:type="dcterms:W3CDTF">2025-10-02T13:21:00Z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