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961"/>
        <w:gridCol w:w="1933"/>
      </w:tblGrid>
      <w:tr w:rsidR="00E71D48" w14:paraId="2E0DD2DC" w14:textId="77777777" w:rsidTr="00BA79F6">
        <w:tc>
          <w:tcPr>
            <w:tcW w:w="2122" w:type="dxa"/>
          </w:tcPr>
          <w:p w14:paraId="29366C5D" w14:textId="0A0B09FD" w:rsidR="00E71D48" w:rsidRDefault="00E71D48" w:rsidP="00BA79F6">
            <w:pPr>
              <w:rPr>
                <w:sz w:val="28"/>
                <w:szCs w:val="28"/>
              </w:rPr>
            </w:pPr>
            <w:r>
              <w:rPr>
                <w:noProof/>
              </w:rPr>
              <w:drawing>
                <wp:anchor distT="0" distB="0" distL="114300" distR="114300" simplePos="0" relativeHeight="251662336" behindDoc="1" locked="0" layoutInCell="1" allowOverlap="1" wp14:anchorId="5C384425" wp14:editId="7261C235">
                  <wp:simplePos x="0" y="0"/>
                  <wp:positionH relativeFrom="column">
                    <wp:posOffset>56727</wp:posOffset>
                  </wp:positionH>
                  <wp:positionV relativeFrom="paragraph">
                    <wp:posOffset>0</wp:posOffset>
                  </wp:positionV>
                  <wp:extent cx="742950" cy="845426"/>
                  <wp:effectExtent l="0" t="0" r="0" b="0"/>
                  <wp:wrapTight wrapText="bothSides">
                    <wp:wrapPolygon edited="0">
                      <wp:start x="9415" y="0"/>
                      <wp:lineTo x="1108" y="7303"/>
                      <wp:lineTo x="2215" y="16553"/>
                      <wp:lineTo x="7200" y="19474"/>
                      <wp:lineTo x="7754" y="20448"/>
                      <wp:lineTo x="13846" y="20448"/>
                      <wp:lineTo x="14400" y="19474"/>
                      <wp:lineTo x="19385" y="16553"/>
                      <wp:lineTo x="21046" y="7790"/>
                      <wp:lineTo x="12185" y="0"/>
                      <wp:lineTo x="9415" y="0"/>
                    </wp:wrapPolygon>
                  </wp:wrapTight>
                  <wp:docPr id="2090519169" name="Picture 2" descr="A blue and yellow emblem with a horsesho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519169" name="Picture 2" descr="A blue and yellow emblem with a horseshoe and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845426"/>
                          </a:xfrm>
                          <a:prstGeom prst="rect">
                            <a:avLst/>
                          </a:prstGeom>
                          <a:noFill/>
                          <a:ln>
                            <a:noFill/>
                          </a:ln>
                        </pic:spPr>
                      </pic:pic>
                    </a:graphicData>
                  </a:graphic>
                </wp:anchor>
              </w:drawing>
            </w:r>
          </w:p>
        </w:tc>
        <w:tc>
          <w:tcPr>
            <w:tcW w:w="4961" w:type="dxa"/>
            <w:vAlign w:val="center"/>
          </w:tcPr>
          <w:p w14:paraId="39FB607F" w14:textId="77777777" w:rsidR="00BA79F6" w:rsidRDefault="00BA79F6" w:rsidP="00E71D48">
            <w:pPr>
              <w:jc w:val="center"/>
              <w:rPr>
                <w:sz w:val="28"/>
                <w:szCs w:val="28"/>
              </w:rPr>
            </w:pPr>
          </w:p>
          <w:p w14:paraId="72F814CF" w14:textId="16CFB910" w:rsidR="00E71D48" w:rsidRPr="00E71D48" w:rsidRDefault="00E71D48" w:rsidP="00E71D48">
            <w:pPr>
              <w:jc w:val="center"/>
              <w:rPr>
                <w:sz w:val="28"/>
                <w:szCs w:val="28"/>
              </w:rPr>
            </w:pPr>
            <w:r w:rsidRPr="00E71D48">
              <w:rPr>
                <w:sz w:val="28"/>
                <w:szCs w:val="28"/>
              </w:rPr>
              <w:t>Oakham Town Council</w:t>
            </w:r>
          </w:p>
          <w:p w14:paraId="27E801F4" w14:textId="77777777" w:rsidR="00E71D48" w:rsidRDefault="00E71D48" w:rsidP="00E71D48">
            <w:pPr>
              <w:jc w:val="center"/>
              <w:rPr>
                <w:sz w:val="28"/>
                <w:szCs w:val="28"/>
              </w:rPr>
            </w:pPr>
          </w:p>
        </w:tc>
        <w:tc>
          <w:tcPr>
            <w:tcW w:w="1933" w:type="dxa"/>
            <w:vAlign w:val="center"/>
          </w:tcPr>
          <w:p w14:paraId="0A9FC323" w14:textId="123B132A" w:rsidR="00E71D48" w:rsidRDefault="00E71D48" w:rsidP="00E71D48">
            <w:pPr>
              <w:jc w:val="center"/>
              <w:rPr>
                <w:sz w:val="28"/>
                <w:szCs w:val="28"/>
              </w:rPr>
            </w:pPr>
            <w:r w:rsidRPr="00E71D48">
              <w:rPr>
                <w:rFonts w:asciiTheme="majorHAnsi" w:hAnsiTheme="majorHAnsi"/>
                <w:noProof/>
                <w:sz w:val="44"/>
                <w:szCs w:val="44"/>
              </w:rPr>
              <mc:AlternateContent>
                <mc:Choice Requires="wps">
                  <w:drawing>
                    <wp:anchor distT="45720" distB="45720" distL="114300" distR="114300" simplePos="0" relativeHeight="251664384" behindDoc="0" locked="0" layoutInCell="1" allowOverlap="1" wp14:anchorId="7F5ADCF7" wp14:editId="5D89F694">
                      <wp:simplePos x="0" y="0"/>
                      <wp:positionH relativeFrom="margin">
                        <wp:posOffset>-5080</wp:posOffset>
                      </wp:positionH>
                      <wp:positionV relativeFrom="paragraph">
                        <wp:posOffset>-243840</wp:posOffset>
                      </wp:positionV>
                      <wp:extent cx="1066800" cy="257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57175"/>
                              </a:xfrm>
                              <a:prstGeom prst="rect">
                                <a:avLst/>
                              </a:prstGeom>
                              <a:solidFill>
                                <a:schemeClr val="accent6">
                                  <a:lumMod val="75000"/>
                                </a:schemeClr>
                              </a:solidFill>
                              <a:ln w="9525">
                                <a:solidFill>
                                  <a:srgbClr val="000000"/>
                                </a:solidFill>
                                <a:miter lim="800000"/>
                                <a:headEnd/>
                                <a:tailEnd/>
                              </a:ln>
                            </wps:spPr>
                            <wps:txbx>
                              <w:txbxContent>
                                <w:p w14:paraId="047DC772" w14:textId="4497C439" w:rsidR="00BA79F6" w:rsidRDefault="00E71D48" w:rsidP="00E71D48">
                                  <w:pPr>
                                    <w:rPr>
                                      <w:color w:val="FFFFFF" w:themeColor="background1"/>
                                    </w:rPr>
                                  </w:pPr>
                                  <w:r w:rsidRPr="00E71D48">
                                    <w:rPr>
                                      <w:color w:val="FFFFFF" w:themeColor="background1"/>
                                    </w:rPr>
                                    <w:t>AUGUST 202</w:t>
                                  </w:r>
                                  <w:r w:rsidR="00D47B48">
                                    <w:rPr>
                                      <w:color w:val="FFFFFF" w:themeColor="background1"/>
                                    </w:rPr>
                                    <w:t>5</w:t>
                                  </w:r>
                                </w:p>
                                <w:p w14:paraId="547B1E02" w14:textId="10C584A1" w:rsidR="00E71D48" w:rsidRPr="00E71D48" w:rsidRDefault="00E71D48" w:rsidP="00E71D48">
                                  <w:pPr>
                                    <w:rPr>
                                      <w:color w:val="FFFFFF" w:themeColor="background1"/>
                                    </w:rPr>
                                  </w:pPr>
                                  <w:r w:rsidRPr="00E71D48">
                                    <w:rPr>
                                      <w:color w:val="FFFFFF" w:themeColor="background1"/>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7F5ADCF7" id="_x0000_t202" coordsize="21600,21600" o:spt="202" path="m,l,21600r21600,l21600,xe">
                      <v:stroke joinstyle="miter"/>
                      <v:path gradientshapeok="t" o:connecttype="rect"/>
                    </v:shapetype>
                    <v:shape id="Text Box 2" o:spid="_x0000_s1026" type="#_x0000_t202" style="position:absolute;left:0;text-align:left;margin-left:-.4pt;margin-top:-19.2pt;width:84pt;height:20.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1JwIAAEYEAAAOAAAAZHJzL2Uyb0RvYy54bWysU8Fu2zAMvQ/YPwi6L3aCOGmNOEWXrsOA&#10;rhvQ7QNkWY6FSaImKbGzrx8lu2m63YZdBFKUHh8fyc3NoBU5CuclmIrOZzklwnBopNlX9Pu3+3dX&#10;lPjATMMUGFHRk/D0Zvv2zaa3pVhAB6oRjiCI8WVvK9qFYMss87wTmvkZWGEw2ILTLKDr9lnjWI/o&#10;WmWLPF9lPbjGOuDCe7y9G4N0m/DbVvDwpW29CERVFLmFdLp01vHMthtW7h2zneQTDfYPLDSTBpOe&#10;oe5YYOTg5F9QWnIHHtow46AzaFvJRaoBq5nnf1Tz1DErUi0ojrdnmfz/g+WPxyf71ZEwvIcBG5iK&#10;8PYB+A9PDOw6Zvbi1jnoO8EaTDyPkmW99eX0NUrtSx9B6v4zNNhkdgiQgIbW6agK1kkQHRtwOosu&#10;hkB4TJmvVlc5hjjGFsV6vi5SClY+/7bOh48CNIlGRR02NaGz44MPkQ0rn5/EZB6UbO6lUsmJgyR2&#10;ypEjwxFgnAsTVum7OmikO96vixwpjFhp9uKXhPwKTRnSV/S6WBQJ4VXMu319zoNoF4CXhLQMOPBK&#10;6opi1dMjVkZ1P5gmjWNgUo02VqbMJHdUeNQ6DPWAD6PsNTQnFN7BONi4iGh04H5R0uNQV9T/PDAn&#10;KFGfDDbver5cxi1IzrJYL9Bxl5H6MsIMR6iKBkpGcxfS5kRdDdxik1uZ9H9hMnHFYU3iTYsVt+HS&#10;T69e1n/7GwAA//8DAFBLAwQUAAYACAAAACEAM6yw89wAAAAHAQAADwAAAGRycy9kb3ducmV2Lnht&#10;bEzOUWuDMBAH8PfBvkO4Qd/WWC1anLGUQUcLYzC3vqfmqrLkIia29tsvPm1Px/E//vcrtpPR7IqD&#10;6ywJWC0jYEi1VR01Ar6/9s8bYM5LUlJbQgF3dLAtHx8KmSt7o0+8Vr5hoYRcLgW03vc5565u0Ui3&#10;tD1SyC52MNKHdWi4GuQtlBvN4yhKuZEdhQ+t7PG1xfqnGo2ArDqlma4P3Ufyth+Pl51ODu8nIRZP&#10;0+4FmMfJ/x3DzA90KIPpbEdSjmkBM9yHkWzWwOY8zWJgZwHxCnhZ8P/+8hcAAP//AwBQSwECLQAU&#10;AAYACAAAACEAtoM4kv4AAADhAQAAEwAAAAAAAAAAAAAAAAAAAAAAW0NvbnRlbnRfVHlwZXNdLnht&#10;bFBLAQItABQABgAIAAAAIQA4/SH/1gAAAJQBAAALAAAAAAAAAAAAAAAAAC8BAABfcmVscy8ucmVs&#10;c1BLAQItABQABgAIAAAAIQBMrvQ1JwIAAEYEAAAOAAAAAAAAAAAAAAAAAC4CAABkcnMvZTJvRG9j&#10;LnhtbFBLAQItABQABgAIAAAAIQAzrLDz3AAAAAcBAAAPAAAAAAAAAAAAAAAAAIEEAABkcnMvZG93&#10;bnJldi54bWxQSwUGAAAAAAQABADzAAAAigUAAAAA&#10;" fillcolor="#3a7c22 [2409]">
                      <v:textbox>
                        <w:txbxContent>
                          <w:p w14:paraId="047DC772" w14:textId="4497C439" w:rsidR="00BA79F6" w:rsidRDefault="00E71D48" w:rsidP="00E71D48">
                            <w:pPr>
                              <w:rPr>
                                <w:color w:val="FFFFFF" w:themeColor="background1"/>
                              </w:rPr>
                            </w:pPr>
                            <w:r w:rsidRPr="00E71D48">
                              <w:rPr>
                                <w:color w:val="FFFFFF" w:themeColor="background1"/>
                              </w:rPr>
                              <w:t>AUGUST 202</w:t>
                            </w:r>
                            <w:r w:rsidR="00D47B48">
                              <w:rPr>
                                <w:color w:val="FFFFFF" w:themeColor="background1"/>
                              </w:rPr>
                              <w:t>5</w:t>
                            </w:r>
                          </w:p>
                          <w:p w14:paraId="547B1E02" w14:textId="10C584A1" w:rsidR="00E71D48" w:rsidRPr="00E71D48" w:rsidRDefault="00E71D48" w:rsidP="00E71D48">
                            <w:pPr>
                              <w:rPr>
                                <w:color w:val="FFFFFF" w:themeColor="background1"/>
                              </w:rPr>
                            </w:pPr>
                            <w:r w:rsidRPr="00E71D48">
                              <w:rPr>
                                <w:color w:val="FFFFFF" w:themeColor="background1"/>
                              </w:rPr>
                              <w:t>5</w:t>
                            </w:r>
                          </w:p>
                        </w:txbxContent>
                      </v:textbox>
                      <w10:wrap type="square" anchorx="margin"/>
                    </v:shape>
                  </w:pict>
                </mc:Fallback>
              </mc:AlternateContent>
            </w:r>
          </w:p>
        </w:tc>
      </w:tr>
      <w:tr w:rsidR="00BA79F6" w14:paraId="7334CD4D" w14:textId="77777777" w:rsidTr="00BA79F6">
        <w:tc>
          <w:tcPr>
            <w:tcW w:w="9016" w:type="dxa"/>
            <w:gridSpan w:val="3"/>
          </w:tcPr>
          <w:p w14:paraId="08AFA5D5" w14:textId="248DB89E" w:rsidR="00BA79F6" w:rsidRPr="00BA79F6" w:rsidRDefault="00BA79F6" w:rsidP="00BA79F6">
            <w:pPr>
              <w:rPr>
                <w:rFonts w:asciiTheme="majorHAnsi" w:hAnsiTheme="majorHAnsi"/>
                <w:b/>
                <w:bCs/>
                <w:sz w:val="52"/>
                <w:szCs w:val="52"/>
              </w:rPr>
            </w:pPr>
            <w:r w:rsidRPr="00BA79F6">
              <w:rPr>
                <w:rFonts w:asciiTheme="majorHAnsi" w:hAnsiTheme="majorHAnsi"/>
                <w:b/>
                <w:bCs/>
                <w:sz w:val="56"/>
                <w:szCs w:val="56"/>
              </w:rPr>
              <w:t>Office News</w:t>
            </w:r>
            <w:r w:rsidR="004C3EB9">
              <w:rPr>
                <w:rFonts w:asciiTheme="majorHAnsi" w:hAnsiTheme="majorHAnsi"/>
                <w:b/>
                <w:bCs/>
                <w:sz w:val="56"/>
                <w:szCs w:val="56"/>
              </w:rPr>
              <w:t>l</w:t>
            </w:r>
            <w:r w:rsidRPr="00BA79F6">
              <w:rPr>
                <w:rFonts w:asciiTheme="majorHAnsi" w:hAnsiTheme="majorHAnsi"/>
                <w:b/>
                <w:bCs/>
                <w:sz w:val="56"/>
                <w:szCs w:val="56"/>
              </w:rPr>
              <w:t xml:space="preserve">etter </w:t>
            </w:r>
            <w:r w:rsidRPr="00BA79F6">
              <w:rPr>
                <w:rFonts w:asciiTheme="majorHAnsi" w:hAnsiTheme="majorHAnsi"/>
                <w:b/>
                <w:bCs/>
                <w:sz w:val="52"/>
                <w:szCs w:val="52"/>
              </w:rPr>
              <w:tab/>
            </w:r>
            <w:r w:rsidRPr="00BA79F6">
              <w:rPr>
                <w:rFonts w:asciiTheme="majorHAnsi" w:hAnsiTheme="majorHAnsi"/>
                <w:b/>
                <w:bCs/>
                <w:sz w:val="52"/>
                <w:szCs w:val="52"/>
              </w:rPr>
              <w:tab/>
            </w:r>
            <w:r w:rsidRPr="00BA79F6">
              <w:rPr>
                <w:rFonts w:asciiTheme="majorHAnsi" w:hAnsiTheme="majorHAnsi"/>
                <w:b/>
                <w:bCs/>
                <w:sz w:val="52"/>
                <w:szCs w:val="52"/>
              </w:rPr>
              <w:tab/>
            </w:r>
          </w:p>
          <w:p w14:paraId="34E0E71A" w14:textId="3D218ACE" w:rsidR="00BA79F6" w:rsidRPr="00BA79F6" w:rsidRDefault="00BA79F6" w:rsidP="00BA79F6">
            <w:pPr>
              <w:rPr>
                <w:rFonts w:asciiTheme="majorHAnsi" w:hAnsiTheme="majorHAnsi"/>
                <w:i/>
                <w:iCs/>
                <w:sz w:val="32"/>
                <w:szCs w:val="32"/>
              </w:rPr>
            </w:pPr>
            <w:r w:rsidRPr="00E71D48">
              <w:rPr>
                <w:rFonts w:asciiTheme="majorHAnsi" w:hAnsiTheme="majorHAnsi"/>
                <w:i/>
                <w:iCs/>
                <w:sz w:val="32"/>
                <w:szCs w:val="32"/>
              </w:rPr>
              <w:t>Working for Oakham</w:t>
            </w:r>
          </w:p>
          <w:p w14:paraId="4A77DBB7" w14:textId="44B8EB0E" w:rsidR="00BA79F6" w:rsidRDefault="00BA79F6" w:rsidP="00E71D48">
            <w:pPr>
              <w:jc w:val="center"/>
              <w:rPr>
                <w:sz w:val="28"/>
                <w:szCs w:val="28"/>
              </w:rPr>
            </w:pPr>
            <w:r>
              <w:rPr>
                <w:rFonts w:asciiTheme="majorHAnsi" w:hAnsiTheme="majorHAnsi"/>
                <w:noProof/>
                <w:sz w:val="44"/>
                <w:szCs w:val="44"/>
              </w:rPr>
              <mc:AlternateContent>
                <mc:Choice Requires="wps">
                  <w:drawing>
                    <wp:anchor distT="0" distB="0" distL="114300" distR="114300" simplePos="0" relativeHeight="251659264" behindDoc="0" locked="0" layoutInCell="1" allowOverlap="1" wp14:anchorId="18B6F9D5" wp14:editId="4633E7FE">
                      <wp:simplePos x="0" y="0"/>
                      <wp:positionH relativeFrom="column">
                        <wp:posOffset>-128905</wp:posOffset>
                      </wp:positionH>
                      <wp:positionV relativeFrom="paragraph">
                        <wp:posOffset>75565</wp:posOffset>
                      </wp:positionV>
                      <wp:extent cx="5905500" cy="0"/>
                      <wp:effectExtent l="38100" t="19050" r="57150" b="114300"/>
                      <wp:wrapNone/>
                      <wp:docPr id="675648333" name="Straight Connector 1"/>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accent6">
                                    <a:lumMod val="75000"/>
                                  </a:schemeClr>
                                </a:soli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00BC7A8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15pt,5.95pt" to="454.8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VaFwIAALAEAAAOAAAAZHJzL2Uyb0RvYy54bWysVE2P0zAQvSPxH6zc2aQLXUrUdA+7Wi58&#10;rHZBnF1/NBb+ku027b9nZtKmFSAkEBfH9njevPc8zvJ27yzbqZRN8F01u2oqprwI0vhNV3398vBq&#10;UbFcuJfcBq+66qBydbt6+WI5xFZdhz5YqRIDEJ/bIXZVX0ps6zqLXjmer0JUHoI6JMcLLNOmlokP&#10;gO5sfd00N/UQkowpCJUz7N6PwWpF+ForUT5rnVVhtquAW6Ex0bjGsV4tebtJPPZGHGnwf2DhuPFQ&#10;dIK654WzbTK/QDkjUshBlysRXB20NkKRBlAza35S89zzqEgLmJPjZFP+f7Di0+7OPyawYYi5zfEx&#10;oYq9Tg6/wI/tyazDZJbaFyZgc/6umc8b8FScYvU5MaZc3qvgGE66yhqPOnjLdx9ygWJw9HQEt63H&#10;MQdr5IOxlhbYAerOJrbjcHdcCOXLDYHYrfsY5Lj/FijQLQIiNQ2mEP4FGsTGCoo6AihghbAtKj33&#10;cmBru01PXIKmZoGKpEHSrxezcQHtMn8DZXDF7Qb6vFQshfLNlJ6uCL1BRJQ0MV5bLr6Pom3s+UiX&#10;YLDpjgacyE5cKHJBsz5fC83KwSosZf2T0sxIuIgZFZnEX/o1O5ai05imwd0pcST9x8TjeUwdSf1N&#10;8pRBlYMvU7IzPqTf0S77E2U9ngc/LnTjdB3kgRqWAvAsyLLjE8Z3d7mm9POPZvUDAAD//wMAUEsD&#10;BBQABgAIAAAAIQC+d4gR3QAAAAkBAAAPAAAAZHJzL2Rvd25yZXYueG1sTI/BSsNAEIbvgu+wjOCt&#10;3W0DamI2pQhehIo2KnibJGMSzM6G7LaNb++IBz3O/B//fJNvZjeoI02h92xhtTSgiGvf9NxaeCnv&#10;FzegQkRucPBMFr4owKY4P8sxa/yJn+m4j62SEg4ZWuhiHDOtQ92Rw7D0I7FkH35yGGWcWt1MeJJy&#10;N+i1MVfaYc9yocOR7jqqP/cHZ+GV52SXju/lo65MUron3O7eHqy9vJi3t6AizfEPhh99UYdCnCp/&#10;4CaowcJibRJBJViloARITXoNqvpd6CLX/z8ovgEAAP//AwBQSwECLQAUAAYACAAAACEAtoM4kv4A&#10;AADhAQAAEwAAAAAAAAAAAAAAAAAAAAAAW0NvbnRlbnRfVHlwZXNdLnhtbFBLAQItABQABgAIAAAA&#10;IQA4/SH/1gAAAJQBAAALAAAAAAAAAAAAAAAAAC8BAABfcmVscy8ucmVsc1BLAQItABQABgAIAAAA&#10;IQCpvzVaFwIAALAEAAAOAAAAAAAAAAAAAAAAAC4CAABkcnMvZTJvRG9jLnhtbFBLAQItABQABgAI&#10;AAAAIQC+d4gR3QAAAAkBAAAPAAAAAAAAAAAAAAAAAHEEAABkcnMvZG93bnJldi54bWxQSwUGAAAA&#10;AAQABADzAAAAewUAAAAA&#10;" strokecolor="#3a7c22 [2409]" strokeweight=".5pt">
                      <v:stroke joinstyle="miter"/>
                      <v:shadow on="t" color="black" opacity="26214f" origin=",-.5" offset="0,3pt"/>
                    </v:line>
                  </w:pict>
                </mc:Fallback>
              </mc:AlternateContent>
            </w:r>
          </w:p>
        </w:tc>
      </w:tr>
    </w:tbl>
    <w:p w14:paraId="1E70E837" w14:textId="77777777" w:rsidR="0070743B" w:rsidRPr="0070743B" w:rsidRDefault="0070743B" w:rsidP="0070743B">
      <w:pPr>
        <w:rPr>
          <w:b/>
          <w:bCs/>
          <w:sz w:val="28"/>
          <w:szCs w:val="28"/>
        </w:rPr>
      </w:pPr>
      <w:r w:rsidRPr="0070743B">
        <w:rPr>
          <w:b/>
          <w:bCs/>
          <w:sz w:val="28"/>
          <w:szCs w:val="28"/>
        </w:rPr>
        <w:t>Policy Development Update for Councillors</w:t>
      </w:r>
    </w:p>
    <w:p w14:paraId="6C89454B" w14:textId="1004F1AB" w:rsidR="0070743B" w:rsidRPr="0070743B" w:rsidRDefault="0070743B" w:rsidP="0070743B">
      <w:r w:rsidRPr="0070743B">
        <w:t>The Office has recently finalised two important resources</w:t>
      </w:r>
      <w:r>
        <w:t xml:space="preserve"> for Council Approval</w:t>
      </w:r>
      <w:r w:rsidRPr="0070743B">
        <w:t xml:space="preserve">: </w:t>
      </w:r>
      <w:proofErr w:type="gramStart"/>
      <w:r w:rsidRPr="0070743B">
        <w:t>the</w:t>
      </w:r>
      <w:proofErr w:type="gramEnd"/>
      <w:r w:rsidRPr="0070743B">
        <w:t xml:space="preserve"> </w:t>
      </w:r>
      <w:r w:rsidRPr="0070743B">
        <w:rPr>
          <w:i/>
          <w:iCs/>
        </w:rPr>
        <w:t>Urgent Decision Protocol</w:t>
      </w:r>
      <w:r w:rsidRPr="0070743B">
        <w:t xml:space="preserve"> and </w:t>
      </w:r>
      <w:r w:rsidRPr="0070743B">
        <w:rPr>
          <w:i/>
          <w:iCs/>
        </w:rPr>
        <w:t>The Councillor’s Guide for Meeting Papers for Council Approval</w:t>
      </w:r>
      <w:r w:rsidRPr="0070743B">
        <w:t>. Both documents reflect a significant investment of time, consultation, and iterative refinement. They are designed not only to support procedural clarity but also to strengthen councillor confidence in decision-making and documentation standards.</w:t>
      </w:r>
    </w:p>
    <w:p w14:paraId="69343ABD" w14:textId="77777777" w:rsidR="0070743B" w:rsidRPr="0070743B" w:rsidRDefault="0070743B" w:rsidP="0070743B">
      <w:r w:rsidRPr="0070743B">
        <w:t xml:space="preserve">Behind the scenes, the team continues to dedicate substantial effort to policy development. Work is underway on a new </w:t>
      </w:r>
      <w:r w:rsidRPr="0070743B">
        <w:rPr>
          <w:i/>
          <w:iCs/>
        </w:rPr>
        <w:t>Transparency Policy</w:t>
      </w:r>
      <w:r w:rsidRPr="0070743B">
        <w:t xml:space="preserve">, which will require careful alignment with existing governance frameworks and a clear articulation of our commitment to openness. In parallel, we are reviewing and adapting elements of the RCC </w:t>
      </w:r>
      <w:r w:rsidRPr="0070743B">
        <w:rPr>
          <w:i/>
          <w:iCs/>
        </w:rPr>
        <w:t>Corporate Complaints Procedure</w:t>
      </w:r>
      <w:r w:rsidRPr="0070743B">
        <w:t xml:space="preserve"> to ensure our approach remains consistent, fair, and fit for purpose.</w:t>
      </w:r>
    </w:p>
    <w:p w14:paraId="4E1015CA" w14:textId="28B7EA7D" w:rsidR="0070743B" w:rsidRPr="0070743B" w:rsidRDefault="0070743B" w:rsidP="00BA79F6">
      <w:r w:rsidRPr="0070743B">
        <w:t>These initiatives are not quick fixes—they represent weeks of drafting, testing, and collaborative input. Each one is part of a broader commitment to improving how Council operates, communicates, and serves the community.</w:t>
      </w:r>
    </w:p>
    <w:p w14:paraId="40AEBABC" w14:textId="77777777" w:rsidR="0070743B" w:rsidRPr="0070743B" w:rsidRDefault="00DA2D9E" w:rsidP="0070743B">
      <w:r w:rsidRPr="0070743B">
        <w:rPr>
          <w:b/>
          <w:bCs/>
          <w:sz w:val="28"/>
          <w:szCs w:val="28"/>
        </w:rPr>
        <w:t xml:space="preserve">Internal </w:t>
      </w:r>
      <w:r w:rsidR="00BA79F6" w:rsidRPr="0070743B">
        <w:rPr>
          <w:b/>
          <w:bCs/>
          <w:sz w:val="28"/>
          <w:szCs w:val="28"/>
        </w:rPr>
        <w:t>Meetings</w:t>
      </w:r>
      <w:r w:rsidRPr="0070743B">
        <w:rPr>
          <w:b/>
          <w:bCs/>
          <w:sz w:val="28"/>
          <w:szCs w:val="28"/>
        </w:rPr>
        <w:t xml:space="preserve"> this month</w:t>
      </w:r>
      <w:r>
        <w:br/>
      </w:r>
      <w:r w:rsidR="0070743B" w:rsidRPr="0070743B">
        <w:t>This month has been particularly demanding, with considerable time and care devoted to preparing agendas, drafting meeting papers, and providing end-to-end support for the inaugural meetings of both the Finance Working Group and the Staffing Committee. These sessions required not only logistical coordination and policy input, but also detailed minute-taking to ensure accurate records and follow-up.</w:t>
      </w:r>
    </w:p>
    <w:p w14:paraId="0A3E8D46" w14:textId="77777777" w:rsidR="0070743B" w:rsidRPr="0070743B" w:rsidRDefault="0070743B" w:rsidP="0070743B">
      <w:r w:rsidRPr="0070743B">
        <w:t>Each element—from initial drafting to final documentation—represents hours of behind-the-scenes effort to uphold transparency, enable informed decision-making, and support councillors in their roles. The workload reflects our ongoing commitment to delivering high-quality governance support, even as new committees and processes come online.</w:t>
      </w:r>
    </w:p>
    <w:p w14:paraId="2AE8AF5B" w14:textId="77777777" w:rsidR="00DE1DBB" w:rsidRPr="00DE1DBB" w:rsidRDefault="00DE1DBB" w:rsidP="00DE1DBB">
      <w:pPr>
        <w:rPr>
          <w:b/>
          <w:bCs/>
          <w:sz w:val="28"/>
          <w:szCs w:val="28"/>
        </w:rPr>
      </w:pPr>
      <w:r w:rsidRPr="00DE1DBB">
        <w:rPr>
          <w:b/>
          <w:bCs/>
          <w:sz w:val="28"/>
          <w:szCs w:val="28"/>
        </w:rPr>
        <w:t>Oakham Hopper – Strategic Exploration Underway</w:t>
      </w:r>
    </w:p>
    <w:p w14:paraId="3B9C0F86" w14:textId="77777777" w:rsidR="00DE1DBB" w:rsidRPr="00DE1DBB" w:rsidRDefault="00DE1DBB" w:rsidP="00DE1DBB">
      <w:r w:rsidRPr="00DE1DBB">
        <w:t>A recent meeting with Rutland County Council focused on the future of the Oakham Hopper, with discussions centred on unlocking its full potential as a community and tourism asset. The conversation explored the ‘art of the possible’—including options for refreshed livery, targeted advertising, usage statistics, and broader visibility.</w:t>
      </w:r>
    </w:p>
    <w:p w14:paraId="6D0C5CDF" w14:textId="77777777" w:rsidR="00DE1DBB" w:rsidRPr="00DE1DBB" w:rsidRDefault="00DE1DBB" w:rsidP="00DE1DBB">
      <w:r w:rsidRPr="00DE1DBB">
        <w:t>A key theme was how to expand the Hopper’s role across three distinct areas:</w:t>
      </w:r>
    </w:p>
    <w:p w14:paraId="0E53C503" w14:textId="77777777" w:rsidR="00DE1DBB" w:rsidRPr="00DE1DBB" w:rsidRDefault="00DE1DBB" w:rsidP="00DE1DBB">
      <w:pPr>
        <w:pStyle w:val="ListParagraph"/>
        <w:numPr>
          <w:ilvl w:val="0"/>
          <w:numId w:val="2"/>
        </w:numPr>
      </w:pPr>
      <w:r w:rsidRPr="00DE1DBB">
        <w:t>Community Support – enhancing access and mobility for residents</w:t>
      </w:r>
    </w:p>
    <w:p w14:paraId="3EB9AA14" w14:textId="77777777" w:rsidR="00DE1DBB" w:rsidRPr="00DE1DBB" w:rsidRDefault="00DE1DBB" w:rsidP="00DE1DBB">
      <w:pPr>
        <w:pStyle w:val="ListParagraph"/>
        <w:numPr>
          <w:ilvl w:val="0"/>
          <w:numId w:val="2"/>
        </w:numPr>
      </w:pPr>
      <w:r w:rsidRPr="00DE1DBB">
        <w:t>Attraction Support – connecting visitors to key destinations and boosting footfall</w:t>
      </w:r>
    </w:p>
    <w:p w14:paraId="73BE9EA0" w14:textId="77777777" w:rsidR="00DE1DBB" w:rsidRPr="00DE1DBB" w:rsidRDefault="00DE1DBB" w:rsidP="00DE1DBB">
      <w:pPr>
        <w:pStyle w:val="ListParagraph"/>
        <w:numPr>
          <w:ilvl w:val="0"/>
          <w:numId w:val="2"/>
        </w:numPr>
      </w:pPr>
      <w:r w:rsidRPr="00DE1DBB">
        <w:t>Major Event Support – providing flexible transport for civic events and seasonal activities</w:t>
      </w:r>
    </w:p>
    <w:p w14:paraId="72D84666" w14:textId="77777777" w:rsidR="00DE1DBB" w:rsidRPr="00DE1DBB" w:rsidRDefault="00DE1DBB" w:rsidP="00DE1DBB">
      <w:r w:rsidRPr="00DE1DBB">
        <w:lastRenderedPageBreak/>
        <w:t>This work is ongoing, with timetable revisions currently under review and the next joint meeting scheduled for October. While no decisions have been made, the direction of travel is promising. An exploratory paper will be brought to Full Council ahead of the next meeting to ensure councillors are fully briefed and able to shape the next phase.</w:t>
      </w:r>
    </w:p>
    <w:p w14:paraId="6E11B502" w14:textId="77777777" w:rsidR="00DE1DBB" w:rsidRPr="00DE1DBB" w:rsidRDefault="00DE1DBB" w:rsidP="00DE1DBB">
      <w:r w:rsidRPr="00DE1DBB">
        <w:t>This initiative reflects a shared ambition to make better use of existing resources while strengthening Oakham’s appeal as a welcoming, well-connected town—for residents, visitors, and event organisers alike.</w:t>
      </w:r>
    </w:p>
    <w:p w14:paraId="3D25300B" w14:textId="77777777" w:rsidR="00E44955" w:rsidRPr="00E44955" w:rsidRDefault="00E44955" w:rsidP="00E44955">
      <w:pPr>
        <w:rPr>
          <w:b/>
          <w:bCs/>
          <w:sz w:val="28"/>
          <w:szCs w:val="28"/>
        </w:rPr>
      </w:pPr>
      <w:r w:rsidRPr="00E44955">
        <w:rPr>
          <w:b/>
          <w:bCs/>
          <w:sz w:val="28"/>
          <w:szCs w:val="28"/>
        </w:rPr>
        <w:t>Staffing Extension – Proposal Ready for Council Approval</w:t>
      </w:r>
    </w:p>
    <w:p w14:paraId="56B0ECC3" w14:textId="77777777" w:rsidR="00E44955" w:rsidRPr="00E44955" w:rsidRDefault="00E44955" w:rsidP="00E44955">
      <w:r w:rsidRPr="00E44955">
        <w:t>Work to develop the rationale for a proposed staffing extension is now complete. This includes supporting documentation and legal research to ensure full compliance with employment law. The proposal reflects a strategic effort to strengthen the Office’s capacity during a period of organisational change.</w:t>
      </w:r>
    </w:p>
    <w:p w14:paraId="5C77DBB7" w14:textId="77777777" w:rsidR="00E44955" w:rsidRPr="00E44955" w:rsidRDefault="00E44955" w:rsidP="00E44955">
      <w:r w:rsidRPr="00E44955">
        <w:t>The extension is designed to provide continuity and support as we move toward a more resilient and responsive structure. It will help maintain service levels while enabling the Office to adapt effectively to future demands.</w:t>
      </w:r>
    </w:p>
    <w:p w14:paraId="7D34E460" w14:textId="77777777" w:rsidR="00E44955" w:rsidRPr="00E44955" w:rsidRDefault="00E44955" w:rsidP="00E44955">
      <w:r w:rsidRPr="00E44955">
        <w:t>The full proposal will be brought to Full Council for approval, marking an important step in ensuring our staffing arrangements are both legally sound and operationally fit for purpose.</w:t>
      </w:r>
    </w:p>
    <w:p w14:paraId="43C71271" w14:textId="77777777" w:rsidR="00DE1DBB" w:rsidRPr="00DE1DBB" w:rsidRDefault="00DE1DBB" w:rsidP="00DE1DBB">
      <w:pPr>
        <w:rPr>
          <w:b/>
          <w:bCs/>
          <w:sz w:val="28"/>
          <w:szCs w:val="28"/>
        </w:rPr>
      </w:pPr>
      <w:r w:rsidRPr="00DE1DBB">
        <w:rPr>
          <w:b/>
          <w:bCs/>
          <w:sz w:val="28"/>
          <w:szCs w:val="28"/>
        </w:rPr>
        <w:t>Finance and Compliance Update</w:t>
      </w:r>
    </w:p>
    <w:p w14:paraId="471B5942" w14:textId="77777777" w:rsidR="00DE1DBB" w:rsidRPr="00DE1DBB" w:rsidRDefault="00DE1DBB" w:rsidP="00DE1DBB">
      <w:r w:rsidRPr="00DE1DBB">
        <w:t>This month has seen sustained effort across several key financial processes, including detailed invoice logging, payment authorisation, and the production of finance papers for the Meeting of Full Council. These tasks are not just routine—they are essential to maintaining transparency, accuracy, and accountability in our financial operations.</w:t>
      </w:r>
    </w:p>
    <w:p w14:paraId="7F3C1B81" w14:textId="77777777" w:rsidR="00DE1DBB" w:rsidRPr="00DE1DBB" w:rsidRDefault="00DE1DBB" w:rsidP="00DE1DBB">
      <w:r w:rsidRPr="00DE1DBB">
        <w:t xml:space="preserve">In parallel, work </w:t>
      </w:r>
      <w:proofErr w:type="gramStart"/>
      <w:r w:rsidRPr="00DE1DBB">
        <w:t>continues on</w:t>
      </w:r>
      <w:proofErr w:type="gramEnd"/>
      <w:r w:rsidRPr="00DE1DBB">
        <w:t xml:space="preserve"> the transfer of assets from HSBC, alongside a strategic review of interest rates and signature control arrangements for both our HSBC Deposit and Cambridge Building Society accounts. These actions are part of a broader push to strengthen our regulatory compliance and ensure our financial frameworks remain robust, secure, and fit for purpose.</w:t>
      </w:r>
    </w:p>
    <w:p w14:paraId="3FF81E99" w14:textId="77777777" w:rsidR="00DE1DBB" w:rsidRPr="00DE1DBB" w:rsidRDefault="00DE1DBB" w:rsidP="00DE1DBB">
      <w:r w:rsidRPr="00DE1DBB">
        <w:t>Every step—from documentation to decision-making—reflects our commitment to best practice and responsible management of public funds.</w:t>
      </w:r>
    </w:p>
    <w:p w14:paraId="70CBAAE4" w14:textId="555667AF" w:rsidR="00E71D48" w:rsidRDefault="00DE1DBB" w:rsidP="00DE1DBB">
      <w:r w:rsidRPr="00DE1DBB">
        <w:rPr>
          <w:b/>
          <w:bCs/>
          <w:sz w:val="28"/>
          <w:szCs w:val="28"/>
        </w:rPr>
        <w:t>Church Wall</w:t>
      </w:r>
      <w:r>
        <w:rPr>
          <w:b/>
          <w:bCs/>
          <w:sz w:val="28"/>
          <w:szCs w:val="28"/>
        </w:rPr>
        <w:br/>
      </w:r>
      <w:r>
        <w:t>A meeting was held with the contractors to address the concerns raised by Cllr Brookes and others regarding the repairs on the Church Wall.</w:t>
      </w:r>
    </w:p>
    <w:p w14:paraId="38F767C8" w14:textId="77777777" w:rsidR="00694579" w:rsidRPr="00694579" w:rsidRDefault="00694579" w:rsidP="00694579">
      <w:pPr>
        <w:rPr>
          <w:b/>
          <w:bCs/>
          <w:sz w:val="28"/>
          <w:szCs w:val="28"/>
        </w:rPr>
      </w:pPr>
      <w:r w:rsidRPr="00694579">
        <w:rPr>
          <w:b/>
          <w:bCs/>
          <w:sz w:val="28"/>
          <w:szCs w:val="28"/>
        </w:rPr>
        <w:t>Town Crier Application – Background Work in Progress</w:t>
      </w:r>
    </w:p>
    <w:p w14:paraId="06552453" w14:textId="77777777" w:rsidR="00694579" w:rsidRPr="00694579" w:rsidRDefault="00694579" w:rsidP="00694579">
      <w:r w:rsidRPr="00694579">
        <w:t>An application for the role of Town Crier has been received from Kelsey Monin. Initial conversations have taken place to explore the practicalities of the role, including due diligence and early research into the cost of a suitable outfit.</w:t>
      </w:r>
    </w:p>
    <w:p w14:paraId="0B5F2E44" w14:textId="77777777" w:rsidR="00694579" w:rsidRPr="00694579" w:rsidRDefault="00694579" w:rsidP="00694579">
      <w:r w:rsidRPr="00694579">
        <w:t>The Town Crier application form has been updated to reflect current expectations, and preparatory work is ongoing to ensure all necessary information is in place. While no formal decision has been made, the groundwork is being laid to bring a well-informed proposal to Full Council at the October meeting.</w:t>
      </w:r>
    </w:p>
    <w:p w14:paraId="5D7E9D53" w14:textId="77777777" w:rsidR="00694579" w:rsidRPr="00694579" w:rsidRDefault="00694579" w:rsidP="00694579">
      <w:r w:rsidRPr="00694579">
        <w:lastRenderedPageBreak/>
        <w:t>This is part of a broader effort to strengthen civic engagement and ceremonial presence in Oakham, with careful attention being paid to both tradition and practical implementation.</w:t>
      </w:r>
    </w:p>
    <w:p w14:paraId="0360638D" w14:textId="77777777" w:rsidR="00390821" w:rsidRPr="00390821" w:rsidRDefault="00390821" w:rsidP="00390821">
      <w:pPr>
        <w:rPr>
          <w:b/>
          <w:bCs/>
          <w:sz w:val="28"/>
          <w:szCs w:val="28"/>
        </w:rPr>
      </w:pPr>
      <w:r w:rsidRPr="00390821">
        <w:rPr>
          <w:b/>
          <w:bCs/>
          <w:sz w:val="28"/>
          <w:szCs w:val="28"/>
        </w:rPr>
        <w:t>Co-option Update – Oakham South Ward</w:t>
      </w:r>
    </w:p>
    <w:p w14:paraId="23D7B812" w14:textId="77777777" w:rsidR="00390821" w:rsidRPr="00390821" w:rsidRDefault="00390821" w:rsidP="00390821">
      <w:r w:rsidRPr="00390821">
        <w:t>Due diligence has now been completed for the proposed co-option of Jonathan Nichols as a Town Councillor for the Oakham South Ward. This includes the necessary checks and preparatory steps to ensure the process is compliant and transparent.</w:t>
      </w:r>
    </w:p>
    <w:p w14:paraId="25BD4596" w14:textId="77777777" w:rsidR="00390821" w:rsidRPr="00390821" w:rsidRDefault="00390821" w:rsidP="00390821">
      <w:r w:rsidRPr="00390821">
        <w:t>Jonathan’s application represents a welcome opportunity to strengthen our councillor team and bring fresh energy to local decision-making. Subject to Council approval, we look forward to potentially welcoming him into the role and continuing our shared commitment to serving the Oakham community.</w:t>
      </w:r>
    </w:p>
    <w:p w14:paraId="3916CA29" w14:textId="3662DD29" w:rsidR="0087774A" w:rsidRPr="00390821" w:rsidRDefault="0087774A" w:rsidP="00390821">
      <w:pPr>
        <w:rPr>
          <w:b/>
          <w:bCs/>
          <w:sz w:val="28"/>
          <w:szCs w:val="28"/>
        </w:rPr>
      </w:pPr>
      <w:r w:rsidRPr="00390821">
        <w:rPr>
          <w:b/>
          <w:bCs/>
          <w:sz w:val="28"/>
          <w:szCs w:val="28"/>
        </w:rPr>
        <w:t>Office Correspondence and Standards – Ongoing Improvement</w:t>
      </w:r>
    </w:p>
    <w:p w14:paraId="3A5668AD" w14:textId="77777777" w:rsidR="0087774A" w:rsidRPr="0087774A" w:rsidRDefault="0087774A" w:rsidP="0087774A">
      <w:r w:rsidRPr="0087774A">
        <w:t>This month saw 387 emails received and around 251 councillor queries or observations logged—each requiring careful attention, timely response, and often follow-up action. Managing this volume is time-intensive and demands consistent professionalism to keep Council operations running smoothly.</w:t>
      </w:r>
    </w:p>
    <w:p w14:paraId="1FFA9043" w14:textId="77777777" w:rsidR="0087774A" w:rsidRPr="0087774A" w:rsidRDefault="0087774A" w:rsidP="0087774A">
      <w:r w:rsidRPr="0087774A">
        <w:t>We acknowledge that the Office does not always meet the standards expected, particularly in responsiveness and consistency. These gaps are being addressed through ongoing work to strengthen internal systems, improve workflows, and invest in training and documentation.</w:t>
      </w:r>
    </w:p>
    <w:p w14:paraId="6A7D24E4" w14:textId="77777777" w:rsidR="0087774A" w:rsidRPr="0087774A" w:rsidRDefault="0087774A" w:rsidP="0087774A">
      <w:r w:rsidRPr="0087774A">
        <w:t>Progress takes time, but the commitment is clear: to build a more reliable, transparent, and responsive Office that better serves councillors, staff, and the wider community</w:t>
      </w:r>
    </w:p>
    <w:p w14:paraId="6D9EC454" w14:textId="0CAA3154" w:rsidR="00F87A67" w:rsidRPr="00F87A67" w:rsidRDefault="00F87A67" w:rsidP="00F87A67">
      <w:bookmarkStart w:id="0" w:name="_Hlk207880922"/>
      <w:r w:rsidRPr="00F87A67">
        <w:rPr>
          <w:b/>
          <w:bCs/>
          <w:sz w:val="28"/>
          <w:szCs w:val="28"/>
        </w:rPr>
        <w:t xml:space="preserve">Professional development </w:t>
      </w:r>
      <w:bookmarkEnd w:id="0"/>
      <w:r w:rsidR="00B2598F">
        <w:br/>
      </w:r>
      <w:r w:rsidRPr="00F87A67">
        <w:t>Chris Evans, our Town Clerk, will be busier than usual over the next six months as he undertakes a series of professional development courses.</w:t>
      </w:r>
    </w:p>
    <w:p w14:paraId="7EDEADA4" w14:textId="77777777" w:rsidR="00F87A67" w:rsidRPr="00F87A67" w:rsidRDefault="00F87A67" w:rsidP="00F87A67">
      <w:r w:rsidRPr="00F87A67">
        <w:t xml:space="preserve">He’ll begin with the </w:t>
      </w:r>
      <w:r w:rsidRPr="00F87A67">
        <w:rPr>
          <w:i/>
          <w:iCs/>
        </w:rPr>
        <w:t>Introduction to Local Council Administration (ILCA)</w:t>
      </w:r>
      <w:r w:rsidRPr="00F87A67">
        <w:t xml:space="preserve">—a foundational online course that covers the essentials of council roles, procedures, and governance. Next comes </w:t>
      </w:r>
      <w:r w:rsidRPr="00F87A67">
        <w:rPr>
          <w:i/>
          <w:iCs/>
        </w:rPr>
        <w:t>FILCA</w:t>
      </w:r>
      <w:r w:rsidRPr="00F87A67">
        <w:t xml:space="preserve">, the </w:t>
      </w:r>
      <w:r w:rsidRPr="00F87A67">
        <w:rPr>
          <w:i/>
          <w:iCs/>
        </w:rPr>
        <w:t>Financial Introduction to Local Council Administration</w:t>
      </w:r>
      <w:r w:rsidRPr="00F87A67">
        <w:t>, a specialist course designed to support Responsible Financial Officers (RFOs) in managing council finances with confidence and compliance.</w:t>
      </w:r>
    </w:p>
    <w:p w14:paraId="3FB878C5" w14:textId="77777777" w:rsidR="00F87A67" w:rsidRDefault="00F87A67" w:rsidP="00F87A67">
      <w:r w:rsidRPr="00F87A67">
        <w:t xml:space="preserve">In February 2026, Chris will begin </w:t>
      </w:r>
      <w:proofErr w:type="spellStart"/>
      <w:r w:rsidRPr="00F87A67">
        <w:rPr>
          <w:i/>
          <w:iCs/>
        </w:rPr>
        <w:t>CiLCA</w:t>
      </w:r>
      <w:proofErr w:type="spellEnd"/>
      <w:r w:rsidRPr="00F87A67">
        <w:t xml:space="preserve">—the </w:t>
      </w:r>
      <w:r w:rsidRPr="00F87A67">
        <w:rPr>
          <w:i/>
          <w:iCs/>
        </w:rPr>
        <w:t>Certificate in Local Council Administration</w:t>
      </w:r>
      <w:r w:rsidRPr="00F87A67">
        <w:t xml:space="preserve">. This is widely regarded as the gold standard qualification for clerks and council officers across England and Wales. If ILCA is the introduction and FILCA is the finance deep-dive, </w:t>
      </w:r>
      <w:proofErr w:type="spellStart"/>
      <w:r w:rsidRPr="00F87A67">
        <w:t>CiLCA</w:t>
      </w:r>
      <w:proofErr w:type="spellEnd"/>
      <w:r w:rsidRPr="00F87A67">
        <w:t xml:space="preserve"> is the full toolkit: a Level 3 foundation qualification that certifies professional competence across law, finance, management, and community engagement</w:t>
      </w:r>
    </w:p>
    <w:p w14:paraId="7BE167EB" w14:textId="77777777" w:rsidR="00F14BA1" w:rsidRDefault="00F14BA1" w:rsidP="00F87A67"/>
    <w:p w14:paraId="264C3BD0" w14:textId="5D71D175" w:rsidR="00F14BA1" w:rsidRDefault="00F14BA1" w:rsidP="00F87A67">
      <w:pPr>
        <w:rPr>
          <w:b/>
          <w:bCs/>
          <w:sz w:val="28"/>
          <w:szCs w:val="28"/>
        </w:rPr>
      </w:pPr>
      <w:r w:rsidRPr="00F14BA1">
        <w:rPr>
          <w:b/>
          <w:bCs/>
          <w:sz w:val="28"/>
          <w:szCs w:val="28"/>
        </w:rPr>
        <w:t>Holiday Leave</w:t>
      </w:r>
      <w:r w:rsidRPr="00F14BA1">
        <w:rPr>
          <w:b/>
          <w:bCs/>
          <w:sz w:val="28"/>
          <w:szCs w:val="28"/>
        </w:rPr>
        <w:t xml:space="preserve"> </w:t>
      </w:r>
    </w:p>
    <w:p w14:paraId="688DA704" w14:textId="4EAE16DE" w:rsidR="00F14BA1" w:rsidRPr="00F14BA1" w:rsidRDefault="00F14BA1" w:rsidP="00F87A67">
      <w:r w:rsidRPr="00F14BA1">
        <w:t>The Deputy Clerk is on leave the week of 22</w:t>
      </w:r>
      <w:r w:rsidRPr="00F14BA1">
        <w:rPr>
          <w:vertAlign w:val="superscript"/>
        </w:rPr>
        <w:t>nd</w:t>
      </w:r>
      <w:r w:rsidRPr="00F14BA1">
        <w:t xml:space="preserve"> September</w:t>
      </w:r>
    </w:p>
    <w:p w14:paraId="3756EE81" w14:textId="22FDF1B7" w:rsidR="00B2598F" w:rsidRPr="00B2598F" w:rsidRDefault="00B2598F" w:rsidP="00F87A67"/>
    <w:p w14:paraId="00632F0B" w14:textId="77777777" w:rsidR="005452A6" w:rsidRPr="00DE1DBB" w:rsidRDefault="005452A6" w:rsidP="00DE1DBB">
      <w:pPr>
        <w:rPr>
          <w:b/>
          <w:bCs/>
          <w:sz w:val="28"/>
          <w:szCs w:val="28"/>
        </w:rPr>
      </w:pPr>
    </w:p>
    <w:sectPr w:rsidR="005452A6" w:rsidRPr="00DE1DBB" w:rsidSect="004C3EB9">
      <w:headerReference w:type="default" r:id="rId8"/>
      <w:footerReference w:type="default" r:id="rId9"/>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79546" w14:textId="77777777" w:rsidR="007C728D" w:rsidRDefault="007C728D" w:rsidP="00BE6ACE">
      <w:pPr>
        <w:spacing w:after="0" w:line="240" w:lineRule="auto"/>
      </w:pPr>
      <w:r>
        <w:separator/>
      </w:r>
    </w:p>
  </w:endnote>
  <w:endnote w:type="continuationSeparator" w:id="0">
    <w:p w14:paraId="28258C0D" w14:textId="77777777" w:rsidR="007C728D" w:rsidRDefault="007C728D" w:rsidP="00BE6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8772717"/>
      <w:docPartObj>
        <w:docPartGallery w:val="Page Numbers (Bottom of Page)"/>
        <w:docPartUnique/>
      </w:docPartObj>
    </w:sdtPr>
    <w:sdtEndPr/>
    <w:sdtContent>
      <w:sdt>
        <w:sdtPr>
          <w:id w:val="-1705238520"/>
          <w:docPartObj>
            <w:docPartGallery w:val="Page Numbers (Top of Page)"/>
            <w:docPartUnique/>
          </w:docPartObj>
        </w:sdtPr>
        <w:sdtEndPr/>
        <w:sdtContent>
          <w:p w14:paraId="0514FCF8" w14:textId="4599F858" w:rsidR="00BE6ACE" w:rsidRDefault="00BE6ACE" w:rsidP="00BE6AC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79751E8" w14:textId="77777777" w:rsidR="00BE6ACE" w:rsidRDefault="00BE6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86B82" w14:textId="77777777" w:rsidR="007C728D" w:rsidRDefault="007C728D" w:rsidP="00BE6ACE">
      <w:pPr>
        <w:spacing w:after="0" w:line="240" w:lineRule="auto"/>
      </w:pPr>
      <w:r>
        <w:separator/>
      </w:r>
    </w:p>
  </w:footnote>
  <w:footnote w:type="continuationSeparator" w:id="0">
    <w:p w14:paraId="17999F31" w14:textId="77777777" w:rsidR="007C728D" w:rsidRDefault="007C728D" w:rsidP="00BE6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D5AA9" w14:textId="5C1102CB" w:rsidR="00BE6ACE" w:rsidRDefault="00BE6ACE">
    <w:pPr>
      <w:pStyle w:val="Header"/>
    </w:pPr>
    <w:r>
      <w:t xml:space="preserve">Office </w:t>
    </w:r>
    <w:r w:rsidR="004C3EB9">
      <w:t>Newsletter</w:t>
    </w:r>
    <w:r>
      <w:t xml:space="preserve"> – August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D6D22"/>
    <w:multiLevelType w:val="hybridMultilevel"/>
    <w:tmpl w:val="FFCCC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2D3A7B"/>
    <w:multiLevelType w:val="multilevel"/>
    <w:tmpl w:val="6E40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861048">
    <w:abstractNumId w:val="1"/>
  </w:num>
  <w:num w:numId="2" w16cid:durableId="142891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48"/>
    <w:rsid w:val="00087D05"/>
    <w:rsid w:val="00111E7A"/>
    <w:rsid w:val="00126C8B"/>
    <w:rsid w:val="00390821"/>
    <w:rsid w:val="004C3EB9"/>
    <w:rsid w:val="005452A6"/>
    <w:rsid w:val="00556919"/>
    <w:rsid w:val="00694579"/>
    <w:rsid w:val="0070743B"/>
    <w:rsid w:val="007C728D"/>
    <w:rsid w:val="0087774A"/>
    <w:rsid w:val="00B2598F"/>
    <w:rsid w:val="00BA79F6"/>
    <w:rsid w:val="00BE6ACE"/>
    <w:rsid w:val="00D47B48"/>
    <w:rsid w:val="00DA2D9E"/>
    <w:rsid w:val="00DE1DBB"/>
    <w:rsid w:val="00E44955"/>
    <w:rsid w:val="00E71D48"/>
    <w:rsid w:val="00EA4E48"/>
    <w:rsid w:val="00F14BA1"/>
    <w:rsid w:val="00F87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1CBD3"/>
  <w15:chartTrackingRefBased/>
  <w15:docId w15:val="{BA941395-F9C5-458A-BEAC-995BEBB1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D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D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D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D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D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D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D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D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D48"/>
    <w:rPr>
      <w:rFonts w:eastAsiaTheme="majorEastAsia" w:cstheme="majorBidi"/>
      <w:color w:val="272727" w:themeColor="text1" w:themeTint="D8"/>
    </w:rPr>
  </w:style>
  <w:style w:type="paragraph" w:styleId="Title">
    <w:name w:val="Title"/>
    <w:basedOn w:val="Normal"/>
    <w:next w:val="Normal"/>
    <w:link w:val="TitleChar"/>
    <w:uiPriority w:val="10"/>
    <w:qFormat/>
    <w:rsid w:val="00E71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D48"/>
    <w:pPr>
      <w:spacing w:before="160"/>
      <w:jc w:val="center"/>
    </w:pPr>
    <w:rPr>
      <w:i/>
      <w:iCs/>
      <w:color w:val="404040" w:themeColor="text1" w:themeTint="BF"/>
    </w:rPr>
  </w:style>
  <w:style w:type="character" w:customStyle="1" w:styleId="QuoteChar">
    <w:name w:val="Quote Char"/>
    <w:basedOn w:val="DefaultParagraphFont"/>
    <w:link w:val="Quote"/>
    <w:uiPriority w:val="29"/>
    <w:rsid w:val="00E71D48"/>
    <w:rPr>
      <w:i/>
      <w:iCs/>
      <w:color w:val="404040" w:themeColor="text1" w:themeTint="BF"/>
    </w:rPr>
  </w:style>
  <w:style w:type="paragraph" w:styleId="ListParagraph">
    <w:name w:val="List Paragraph"/>
    <w:basedOn w:val="Normal"/>
    <w:uiPriority w:val="34"/>
    <w:qFormat/>
    <w:rsid w:val="00E71D48"/>
    <w:pPr>
      <w:ind w:left="720"/>
      <w:contextualSpacing/>
    </w:pPr>
  </w:style>
  <w:style w:type="character" w:styleId="IntenseEmphasis">
    <w:name w:val="Intense Emphasis"/>
    <w:basedOn w:val="DefaultParagraphFont"/>
    <w:uiPriority w:val="21"/>
    <w:qFormat/>
    <w:rsid w:val="00E71D48"/>
    <w:rPr>
      <w:i/>
      <w:iCs/>
      <w:color w:val="0F4761" w:themeColor="accent1" w:themeShade="BF"/>
    </w:rPr>
  </w:style>
  <w:style w:type="paragraph" w:styleId="IntenseQuote">
    <w:name w:val="Intense Quote"/>
    <w:basedOn w:val="Normal"/>
    <w:next w:val="Normal"/>
    <w:link w:val="IntenseQuoteChar"/>
    <w:uiPriority w:val="30"/>
    <w:qFormat/>
    <w:rsid w:val="00E71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D48"/>
    <w:rPr>
      <w:i/>
      <w:iCs/>
      <w:color w:val="0F4761" w:themeColor="accent1" w:themeShade="BF"/>
    </w:rPr>
  </w:style>
  <w:style w:type="character" w:styleId="IntenseReference">
    <w:name w:val="Intense Reference"/>
    <w:basedOn w:val="DefaultParagraphFont"/>
    <w:uiPriority w:val="32"/>
    <w:qFormat/>
    <w:rsid w:val="00E71D48"/>
    <w:rPr>
      <w:b/>
      <w:bCs/>
      <w:smallCaps/>
      <w:color w:val="0F4761" w:themeColor="accent1" w:themeShade="BF"/>
      <w:spacing w:val="5"/>
    </w:rPr>
  </w:style>
  <w:style w:type="table" w:styleId="TableGrid">
    <w:name w:val="Table Grid"/>
    <w:basedOn w:val="TableNormal"/>
    <w:uiPriority w:val="39"/>
    <w:rsid w:val="00E7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743B"/>
    <w:rPr>
      <w:rFonts w:ascii="Times New Roman" w:hAnsi="Times New Roman" w:cs="Times New Roman"/>
      <w:sz w:val="24"/>
      <w:szCs w:val="24"/>
    </w:rPr>
  </w:style>
  <w:style w:type="paragraph" w:styleId="Header">
    <w:name w:val="header"/>
    <w:basedOn w:val="Normal"/>
    <w:link w:val="HeaderChar"/>
    <w:uiPriority w:val="99"/>
    <w:unhideWhenUsed/>
    <w:rsid w:val="00BE6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ACE"/>
  </w:style>
  <w:style w:type="paragraph" w:styleId="Footer">
    <w:name w:val="footer"/>
    <w:basedOn w:val="Normal"/>
    <w:link w:val="FooterChar"/>
    <w:uiPriority w:val="99"/>
    <w:unhideWhenUsed/>
    <w:rsid w:val="00BE6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b60e6556250455b6bbd42c3eb6ce1e7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5ebc9080a16bc614b8e8d277560ab230"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F7554BDC-A54F-4B54-A6C5-DB2816C9D92B}"/>
</file>

<file path=customXml/itemProps2.xml><?xml version="1.0" encoding="utf-8"?>
<ds:datastoreItem xmlns:ds="http://schemas.openxmlformats.org/officeDocument/2006/customXml" ds:itemID="{5A8E7307-E9A7-4B5F-A230-C520E8F628FA}"/>
</file>

<file path=customXml/itemProps3.xml><?xml version="1.0" encoding="utf-8"?>
<ds:datastoreItem xmlns:ds="http://schemas.openxmlformats.org/officeDocument/2006/customXml" ds:itemID="{98832CA4-EB45-428A-A302-516E04B1AC52}"/>
</file>

<file path=docProps/app.xml><?xml version="1.0" encoding="utf-8"?>
<Properties xmlns="http://schemas.openxmlformats.org/officeDocument/2006/extended-properties" xmlns:vt="http://schemas.openxmlformats.org/officeDocument/2006/docPropsVTypes">
  <Template>Normal.dotm</Template>
  <TotalTime>14</TotalTime>
  <Pages>3</Pages>
  <Words>1230</Words>
  <Characters>7011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Chris Evans</cp:lastModifiedBy>
  <cp:revision>2</cp:revision>
  <dcterms:created xsi:type="dcterms:W3CDTF">2025-09-04T11:24:00Z</dcterms:created>
  <dcterms:modified xsi:type="dcterms:W3CDTF">2025-09-04T11:24:00Z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ies>
</file>