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07CD" w14:textId="0DAE8E43" w:rsidR="00434037" w:rsidRDefault="00434037" w:rsidP="009F472E">
      <w:pPr>
        <w:jc w:val="center"/>
        <w:rPr>
          <w:b/>
          <w:bCs/>
          <w:noProof/>
          <w:sz w:val="24"/>
          <w:szCs w:val="24"/>
        </w:rPr>
      </w:pPr>
    </w:p>
    <w:p w14:paraId="489A6417" w14:textId="77777777" w:rsidR="00923E80" w:rsidRDefault="00923E80" w:rsidP="009F472E">
      <w:pPr>
        <w:jc w:val="center"/>
        <w:rPr>
          <w:b/>
          <w:bCs/>
          <w:noProof/>
          <w:sz w:val="24"/>
          <w:szCs w:val="24"/>
        </w:rPr>
      </w:pPr>
    </w:p>
    <w:p w14:paraId="616BCA14" w14:textId="22206CE3" w:rsidR="00642A52" w:rsidRPr="00496B13" w:rsidRDefault="00642A52" w:rsidP="009F472E">
      <w:pPr>
        <w:jc w:val="center"/>
        <w:rPr>
          <w:b/>
          <w:bCs/>
          <w:noProof/>
          <w:sz w:val="24"/>
          <w:szCs w:val="24"/>
        </w:rPr>
      </w:pPr>
      <w:r w:rsidRPr="00496B13">
        <w:rPr>
          <w:b/>
          <w:bCs/>
          <w:noProof/>
          <w:sz w:val="24"/>
          <w:szCs w:val="24"/>
        </w:rPr>
        <w:drawing>
          <wp:inline distT="0" distB="0" distL="0" distR="0" wp14:anchorId="50FE0BC4" wp14:editId="3D164D19">
            <wp:extent cx="2181225" cy="3197947"/>
            <wp:effectExtent l="0" t="0" r="0" b="2540"/>
            <wp:docPr id="7" name="Picture 6" descr="A green and yellow label with a building and text&#10;&#10;AI-generated content may be incorrect.">
              <a:extLst xmlns:a="http://schemas.openxmlformats.org/drawingml/2006/main">
                <a:ext uri="{FF2B5EF4-FFF2-40B4-BE49-F238E27FC236}">
                  <a16:creationId xmlns:a16="http://schemas.microsoft.com/office/drawing/2014/main" id="{573DA7C0-F795-D521-DF62-0271ABDFB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een and yellow label with a building and text&#10;&#10;AI-generated content may be incorrect.">
                      <a:extLst>
                        <a:ext uri="{FF2B5EF4-FFF2-40B4-BE49-F238E27FC236}">
                          <a16:creationId xmlns:a16="http://schemas.microsoft.com/office/drawing/2014/main" id="{573DA7C0-F795-D521-DF62-0271ABDFB1C4}"/>
                        </a:ext>
                      </a:extLst>
                    </pic:cNvPr>
                    <pic:cNvPicPr>
                      <a:picLocks noChangeAspect="1"/>
                    </pic:cNvPicPr>
                  </pic:nvPicPr>
                  <pic:blipFill>
                    <a:blip r:embed="rId8">
                      <a:alphaModFix amt="94000"/>
                      <a:extLst>
                        <a:ext uri="{BEBA8EAE-BF5A-486C-A8C5-ECC9F3942E4B}">
                          <a14:imgProps xmlns:a14="http://schemas.microsoft.com/office/drawing/2010/main">
                            <a14:imgLayer r:embed="rId9">
                              <a14:imgEffect>
                                <a14:brightnessContrast bright="20000" contrast="20000"/>
                              </a14:imgEffect>
                            </a14:imgLayer>
                          </a14:imgProps>
                        </a:ext>
                      </a:extLst>
                    </a:blip>
                    <a:stretch>
                      <a:fillRect/>
                    </a:stretch>
                  </pic:blipFill>
                  <pic:spPr>
                    <a:xfrm>
                      <a:off x="0" y="0"/>
                      <a:ext cx="2181225" cy="3197947"/>
                    </a:xfrm>
                    <a:prstGeom prst="rect">
                      <a:avLst/>
                    </a:prstGeom>
                  </pic:spPr>
                </pic:pic>
              </a:graphicData>
            </a:graphic>
          </wp:inline>
        </w:drawing>
      </w:r>
    </w:p>
    <w:p w14:paraId="3E4323BD" w14:textId="67BF8F93" w:rsidR="009F472E" w:rsidRPr="00496B13" w:rsidRDefault="009F472E" w:rsidP="009F472E">
      <w:pPr>
        <w:jc w:val="center"/>
        <w:rPr>
          <w:b/>
          <w:bCs/>
          <w:color w:val="EE0000"/>
          <w:sz w:val="24"/>
          <w:szCs w:val="24"/>
        </w:rPr>
      </w:pPr>
    </w:p>
    <w:p w14:paraId="59427303" w14:textId="30066752" w:rsidR="00434037" w:rsidRPr="00642A52" w:rsidRDefault="001949A4" w:rsidP="00434037">
      <w:pPr>
        <w:ind w:firstLine="360"/>
        <w:jc w:val="center"/>
        <w:rPr>
          <w:b/>
          <w:bCs/>
          <w:sz w:val="72"/>
          <w:szCs w:val="72"/>
        </w:rPr>
      </w:pPr>
      <w:r w:rsidRPr="00642A52">
        <w:rPr>
          <w:b/>
          <w:bCs/>
          <w:sz w:val="72"/>
          <w:szCs w:val="72"/>
        </w:rPr>
        <w:t>Victoria Hall</w:t>
      </w:r>
      <w:r w:rsidRPr="00642A52">
        <w:rPr>
          <w:b/>
          <w:bCs/>
          <w:sz w:val="72"/>
          <w:szCs w:val="72"/>
        </w:rPr>
        <w:br/>
      </w:r>
      <w:r w:rsidR="00434037" w:rsidRPr="00642A52">
        <w:rPr>
          <w:b/>
          <w:bCs/>
          <w:sz w:val="52"/>
          <w:szCs w:val="52"/>
        </w:rPr>
        <w:t>Briefing Notes</w:t>
      </w:r>
    </w:p>
    <w:p w14:paraId="1519CB12" w14:textId="77777777" w:rsidR="00434037" w:rsidRPr="00496B13" w:rsidRDefault="00434037" w:rsidP="00434037">
      <w:pPr>
        <w:ind w:firstLine="360"/>
        <w:jc w:val="center"/>
        <w:rPr>
          <w:b/>
          <w:bCs/>
          <w:sz w:val="24"/>
          <w:szCs w:val="24"/>
        </w:rPr>
      </w:pPr>
    </w:p>
    <w:p w14:paraId="1BE19DEE" w14:textId="77777777" w:rsidR="000275D8" w:rsidRPr="00496B13" w:rsidRDefault="00434037" w:rsidP="000275D8">
      <w:pPr>
        <w:pStyle w:val="Heading2"/>
        <w:rPr>
          <w:rFonts w:asciiTheme="minorHAnsi" w:hAnsiTheme="minorHAnsi"/>
          <w:sz w:val="24"/>
          <w:szCs w:val="24"/>
        </w:rPr>
      </w:pPr>
      <w:r w:rsidRPr="00496B13">
        <w:rPr>
          <w:rFonts w:asciiTheme="minorHAnsi" w:hAnsiTheme="minorHAnsi"/>
          <w:sz w:val="24"/>
          <w:szCs w:val="24"/>
        </w:rPr>
        <w:br w:type="page"/>
      </w:r>
    </w:p>
    <w:p w14:paraId="02AF3871" w14:textId="5CB59173" w:rsidR="000275D8" w:rsidRDefault="000275D8">
      <w:pPr>
        <w:rPr>
          <w:sz w:val="24"/>
          <w:szCs w:val="24"/>
        </w:rPr>
      </w:pPr>
    </w:p>
    <w:p w14:paraId="11D17CDE" w14:textId="77777777" w:rsidR="00D06F51" w:rsidRDefault="00D06F51">
      <w:pPr>
        <w:rPr>
          <w:sz w:val="24"/>
          <w:szCs w:val="24"/>
        </w:rPr>
      </w:pPr>
    </w:p>
    <w:p w14:paraId="75DD8557" w14:textId="77777777" w:rsidR="00D06F51" w:rsidRPr="00496B13" w:rsidRDefault="00D06F51">
      <w:pPr>
        <w:rPr>
          <w:sz w:val="24"/>
          <w:szCs w:val="24"/>
        </w:rPr>
      </w:pPr>
    </w:p>
    <w:sdt>
      <w:sdtPr>
        <w:rPr>
          <w:rFonts w:asciiTheme="minorHAnsi" w:hAnsiTheme="minorHAnsi"/>
          <w:sz w:val="24"/>
          <w:szCs w:val="24"/>
        </w:rPr>
        <w:id w:val="982811103"/>
        <w:docPartObj>
          <w:docPartGallery w:val="Table of Contents"/>
          <w:docPartUnique/>
        </w:docPartObj>
      </w:sdtPr>
      <w:sdtEndPr>
        <w:rPr>
          <w:rFonts w:eastAsiaTheme="minorHAnsi" w:cstheme="minorBidi"/>
          <w:b/>
          <w:bCs/>
          <w:noProof/>
          <w:color w:val="auto"/>
          <w:kern w:val="2"/>
          <w:lang w:val="en-GB"/>
          <w14:ligatures w14:val="standardContextual"/>
        </w:rPr>
      </w:sdtEndPr>
      <w:sdtContent>
        <w:p w14:paraId="231E949C" w14:textId="77777777" w:rsidR="000275D8" w:rsidRPr="00923E80" w:rsidRDefault="000275D8" w:rsidP="000275D8">
          <w:pPr>
            <w:pStyle w:val="TOCHeading"/>
            <w:rPr>
              <w:rFonts w:asciiTheme="minorHAnsi" w:hAnsiTheme="minorHAnsi"/>
              <w:sz w:val="28"/>
              <w:szCs w:val="28"/>
            </w:rPr>
          </w:pPr>
          <w:r w:rsidRPr="00923E80">
            <w:rPr>
              <w:rFonts w:asciiTheme="minorHAnsi" w:hAnsiTheme="minorHAnsi"/>
              <w:sz w:val="28"/>
              <w:szCs w:val="28"/>
            </w:rPr>
            <w:t>Table of Contents</w:t>
          </w:r>
        </w:p>
        <w:p w14:paraId="5452D2C3" w14:textId="5A320545" w:rsidR="00923E80" w:rsidRPr="00923E80" w:rsidRDefault="000275D8">
          <w:pPr>
            <w:pStyle w:val="TOC2"/>
            <w:tabs>
              <w:tab w:val="right" w:leader="dot" w:pos="10456"/>
            </w:tabs>
            <w:rPr>
              <w:rFonts w:eastAsiaTheme="minorEastAsia"/>
              <w:noProof/>
              <w:sz w:val="24"/>
              <w:szCs w:val="24"/>
              <w:lang w:eastAsia="en-GB"/>
            </w:rPr>
          </w:pPr>
          <w:r w:rsidRPr="00923E80">
            <w:rPr>
              <w:sz w:val="24"/>
              <w:szCs w:val="24"/>
            </w:rPr>
            <w:fldChar w:fldCharType="begin"/>
          </w:r>
          <w:r w:rsidRPr="00923E80">
            <w:rPr>
              <w:sz w:val="24"/>
              <w:szCs w:val="24"/>
            </w:rPr>
            <w:instrText xml:space="preserve"> TOC \o "1-3" \h \z \u </w:instrText>
          </w:r>
          <w:r w:rsidRPr="00923E80">
            <w:rPr>
              <w:sz w:val="24"/>
              <w:szCs w:val="24"/>
            </w:rPr>
            <w:fldChar w:fldCharType="separate"/>
          </w:r>
          <w:hyperlink w:anchor="_Toc207613580" w:history="1">
            <w:r w:rsidR="00923E80" w:rsidRPr="00923E80">
              <w:rPr>
                <w:rStyle w:val="Hyperlink"/>
                <w:noProof/>
                <w:sz w:val="24"/>
                <w:szCs w:val="24"/>
              </w:rPr>
              <w:t>Introduction</w:t>
            </w:r>
            <w:r w:rsidR="00923E80" w:rsidRPr="00923E80">
              <w:rPr>
                <w:noProof/>
                <w:webHidden/>
                <w:sz w:val="24"/>
                <w:szCs w:val="24"/>
              </w:rPr>
              <w:tab/>
            </w:r>
            <w:r w:rsidR="00923E80" w:rsidRPr="00923E80">
              <w:rPr>
                <w:noProof/>
                <w:webHidden/>
                <w:sz w:val="24"/>
                <w:szCs w:val="24"/>
              </w:rPr>
              <w:fldChar w:fldCharType="begin"/>
            </w:r>
            <w:r w:rsidR="00923E80" w:rsidRPr="00923E80">
              <w:rPr>
                <w:noProof/>
                <w:webHidden/>
                <w:sz w:val="24"/>
                <w:szCs w:val="24"/>
              </w:rPr>
              <w:instrText xml:space="preserve"> PAGEREF _Toc207613580 \h </w:instrText>
            </w:r>
            <w:r w:rsidR="00923E80" w:rsidRPr="00923E80">
              <w:rPr>
                <w:noProof/>
                <w:webHidden/>
                <w:sz w:val="24"/>
                <w:szCs w:val="24"/>
              </w:rPr>
            </w:r>
            <w:r w:rsidR="00923E80" w:rsidRPr="00923E80">
              <w:rPr>
                <w:noProof/>
                <w:webHidden/>
                <w:sz w:val="24"/>
                <w:szCs w:val="24"/>
              </w:rPr>
              <w:fldChar w:fldCharType="separate"/>
            </w:r>
            <w:r w:rsidR="00923E80" w:rsidRPr="00923E80">
              <w:rPr>
                <w:noProof/>
                <w:webHidden/>
                <w:sz w:val="24"/>
                <w:szCs w:val="24"/>
              </w:rPr>
              <w:t>3</w:t>
            </w:r>
            <w:r w:rsidR="00923E80" w:rsidRPr="00923E80">
              <w:rPr>
                <w:noProof/>
                <w:webHidden/>
                <w:sz w:val="24"/>
                <w:szCs w:val="24"/>
              </w:rPr>
              <w:fldChar w:fldCharType="end"/>
            </w:r>
          </w:hyperlink>
        </w:p>
        <w:p w14:paraId="086C6FCB" w14:textId="5D26194A" w:rsidR="00923E80" w:rsidRPr="00923E80" w:rsidRDefault="00923E80">
          <w:pPr>
            <w:pStyle w:val="TOC2"/>
            <w:tabs>
              <w:tab w:val="right" w:leader="dot" w:pos="10456"/>
            </w:tabs>
            <w:rPr>
              <w:rFonts w:eastAsiaTheme="minorEastAsia"/>
              <w:noProof/>
              <w:sz w:val="24"/>
              <w:szCs w:val="24"/>
              <w:lang w:eastAsia="en-GB"/>
            </w:rPr>
          </w:pPr>
          <w:hyperlink w:anchor="_Toc207613581" w:history="1">
            <w:r w:rsidRPr="00923E80">
              <w:rPr>
                <w:rStyle w:val="Hyperlink"/>
                <w:noProof/>
                <w:sz w:val="24"/>
                <w:szCs w:val="24"/>
              </w:rPr>
              <w:t>Council Engagement Timeline (2025)</w:t>
            </w:r>
            <w:r w:rsidRPr="00923E80">
              <w:rPr>
                <w:noProof/>
                <w:webHidden/>
                <w:sz w:val="24"/>
                <w:szCs w:val="24"/>
              </w:rPr>
              <w:tab/>
            </w:r>
            <w:r w:rsidRPr="00923E80">
              <w:rPr>
                <w:noProof/>
                <w:webHidden/>
                <w:sz w:val="24"/>
                <w:szCs w:val="24"/>
              </w:rPr>
              <w:fldChar w:fldCharType="begin"/>
            </w:r>
            <w:r w:rsidRPr="00923E80">
              <w:rPr>
                <w:noProof/>
                <w:webHidden/>
                <w:sz w:val="24"/>
                <w:szCs w:val="24"/>
              </w:rPr>
              <w:instrText xml:space="preserve"> PAGEREF _Toc207613581 \h </w:instrText>
            </w:r>
            <w:r w:rsidRPr="00923E80">
              <w:rPr>
                <w:noProof/>
                <w:webHidden/>
                <w:sz w:val="24"/>
                <w:szCs w:val="24"/>
              </w:rPr>
            </w:r>
            <w:r w:rsidRPr="00923E80">
              <w:rPr>
                <w:noProof/>
                <w:webHidden/>
                <w:sz w:val="24"/>
                <w:szCs w:val="24"/>
              </w:rPr>
              <w:fldChar w:fldCharType="separate"/>
            </w:r>
            <w:r w:rsidRPr="00923E80">
              <w:rPr>
                <w:noProof/>
                <w:webHidden/>
                <w:sz w:val="24"/>
                <w:szCs w:val="24"/>
              </w:rPr>
              <w:t>4</w:t>
            </w:r>
            <w:r w:rsidRPr="00923E80">
              <w:rPr>
                <w:noProof/>
                <w:webHidden/>
                <w:sz w:val="24"/>
                <w:szCs w:val="24"/>
              </w:rPr>
              <w:fldChar w:fldCharType="end"/>
            </w:r>
          </w:hyperlink>
        </w:p>
        <w:p w14:paraId="430966E8" w14:textId="6C4C2B32" w:rsidR="00923E80" w:rsidRPr="00923E80" w:rsidRDefault="00923E80">
          <w:pPr>
            <w:pStyle w:val="TOC2"/>
            <w:tabs>
              <w:tab w:val="right" w:leader="dot" w:pos="10456"/>
            </w:tabs>
            <w:rPr>
              <w:rFonts w:eastAsiaTheme="minorEastAsia"/>
              <w:noProof/>
              <w:sz w:val="24"/>
              <w:szCs w:val="24"/>
              <w:lang w:eastAsia="en-GB"/>
            </w:rPr>
          </w:pPr>
          <w:hyperlink w:anchor="_Toc207613582" w:history="1">
            <w:r w:rsidRPr="00923E80">
              <w:rPr>
                <w:rStyle w:val="Hyperlink"/>
                <w:noProof/>
                <w:sz w:val="24"/>
                <w:szCs w:val="24"/>
              </w:rPr>
              <w:t>Business Rates (NNDR) Briefing</w:t>
            </w:r>
            <w:r w:rsidRPr="00923E80">
              <w:rPr>
                <w:noProof/>
                <w:webHidden/>
                <w:sz w:val="24"/>
                <w:szCs w:val="24"/>
              </w:rPr>
              <w:tab/>
            </w:r>
            <w:r w:rsidRPr="00923E80">
              <w:rPr>
                <w:noProof/>
                <w:webHidden/>
                <w:sz w:val="24"/>
                <w:szCs w:val="24"/>
              </w:rPr>
              <w:fldChar w:fldCharType="begin"/>
            </w:r>
            <w:r w:rsidRPr="00923E80">
              <w:rPr>
                <w:noProof/>
                <w:webHidden/>
                <w:sz w:val="24"/>
                <w:szCs w:val="24"/>
              </w:rPr>
              <w:instrText xml:space="preserve"> PAGEREF _Toc207613582 \h </w:instrText>
            </w:r>
            <w:r w:rsidRPr="00923E80">
              <w:rPr>
                <w:noProof/>
                <w:webHidden/>
                <w:sz w:val="24"/>
                <w:szCs w:val="24"/>
              </w:rPr>
            </w:r>
            <w:r w:rsidRPr="00923E80">
              <w:rPr>
                <w:noProof/>
                <w:webHidden/>
                <w:sz w:val="24"/>
                <w:szCs w:val="24"/>
              </w:rPr>
              <w:fldChar w:fldCharType="separate"/>
            </w:r>
            <w:r w:rsidRPr="00923E80">
              <w:rPr>
                <w:noProof/>
                <w:webHidden/>
                <w:sz w:val="24"/>
                <w:szCs w:val="24"/>
              </w:rPr>
              <w:t>5</w:t>
            </w:r>
            <w:r w:rsidRPr="00923E80">
              <w:rPr>
                <w:noProof/>
                <w:webHidden/>
                <w:sz w:val="24"/>
                <w:szCs w:val="24"/>
              </w:rPr>
              <w:fldChar w:fldCharType="end"/>
            </w:r>
          </w:hyperlink>
        </w:p>
        <w:p w14:paraId="5ABDB9E8" w14:textId="4FCE4A85" w:rsidR="00923E80" w:rsidRPr="00923E80" w:rsidRDefault="00923E80">
          <w:pPr>
            <w:pStyle w:val="TOC2"/>
            <w:tabs>
              <w:tab w:val="right" w:leader="dot" w:pos="10456"/>
            </w:tabs>
            <w:rPr>
              <w:rFonts w:eastAsiaTheme="minorEastAsia"/>
              <w:noProof/>
              <w:sz w:val="24"/>
              <w:szCs w:val="24"/>
              <w:lang w:eastAsia="en-GB"/>
            </w:rPr>
          </w:pPr>
          <w:hyperlink w:anchor="_Toc207613583" w:history="1">
            <w:r w:rsidRPr="00923E80">
              <w:rPr>
                <w:rStyle w:val="Hyperlink"/>
                <w:noProof/>
                <w:sz w:val="24"/>
                <w:szCs w:val="24"/>
              </w:rPr>
              <w:t>Initial Financial Projection (exc VAT)</w:t>
            </w:r>
            <w:r w:rsidRPr="00923E80">
              <w:rPr>
                <w:noProof/>
                <w:webHidden/>
                <w:sz w:val="24"/>
                <w:szCs w:val="24"/>
              </w:rPr>
              <w:tab/>
            </w:r>
            <w:r w:rsidRPr="00923E80">
              <w:rPr>
                <w:noProof/>
                <w:webHidden/>
                <w:sz w:val="24"/>
                <w:szCs w:val="24"/>
              </w:rPr>
              <w:fldChar w:fldCharType="begin"/>
            </w:r>
            <w:r w:rsidRPr="00923E80">
              <w:rPr>
                <w:noProof/>
                <w:webHidden/>
                <w:sz w:val="24"/>
                <w:szCs w:val="24"/>
              </w:rPr>
              <w:instrText xml:space="preserve"> PAGEREF _Toc207613583 \h </w:instrText>
            </w:r>
            <w:r w:rsidRPr="00923E80">
              <w:rPr>
                <w:noProof/>
                <w:webHidden/>
                <w:sz w:val="24"/>
                <w:szCs w:val="24"/>
              </w:rPr>
            </w:r>
            <w:r w:rsidRPr="00923E80">
              <w:rPr>
                <w:noProof/>
                <w:webHidden/>
                <w:sz w:val="24"/>
                <w:szCs w:val="24"/>
              </w:rPr>
              <w:fldChar w:fldCharType="separate"/>
            </w:r>
            <w:r w:rsidRPr="00923E80">
              <w:rPr>
                <w:noProof/>
                <w:webHidden/>
                <w:sz w:val="24"/>
                <w:szCs w:val="24"/>
              </w:rPr>
              <w:t>6</w:t>
            </w:r>
            <w:r w:rsidRPr="00923E80">
              <w:rPr>
                <w:noProof/>
                <w:webHidden/>
                <w:sz w:val="24"/>
                <w:szCs w:val="24"/>
              </w:rPr>
              <w:fldChar w:fldCharType="end"/>
            </w:r>
          </w:hyperlink>
        </w:p>
        <w:p w14:paraId="31976053" w14:textId="3B91DB23" w:rsidR="000275D8" w:rsidRPr="00496B13" w:rsidRDefault="000275D8" w:rsidP="000275D8">
          <w:pPr>
            <w:rPr>
              <w:b/>
              <w:bCs/>
              <w:noProof/>
              <w:sz w:val="24"/>
              <w:szCs w:val="24"/>
            </w:rPr>
          </w:pPr>
          <w:r w:rsidRPr="00923E80">
            <w:rPr>
              <w:b/>
              <w:bCs/>
              <w:noProof/>
              <w:sz w:val="24"/>
              <w:szCs w:val="24"/>
            </w:rPr>
            <w:fldChar w:fldCharType="end"/>
          </w:r>
        </w:p>
      </w:sdtContent>
    </w:sdt>
    <w:p w14:paraId="7429F3D6" w14:textId="77777777" w:rsidR="000275D8" w:rsidRPr="00496B13" w:rsidRDefault="000275D8">
      <w:pPr>
        <w:rPr>
          <w:sz w:val="24"/>
          <w:szCs w:val="24"/>
        </w:rPr>
      </w:pPr>
    </w:p>
    <w:p w14:paraId="43D9DD20" w14:textId="0F9FDBA6" w:rsidR="000275D8" w:rsidRPr="00496B13" w:rsidRDefault="000275D8">
      <w:pPr>
        <w:rPr>
          <w:rFonts w:eastAsiaTheme="majorEastAsia" w:cstheme="majorBidi"/>
          <w:color w:val="0F4761" w:themeColor="accent1" w:themeShade="BF"/>
          <w:sz w:val="24"/>
          <w:szCs w:val="24"/>
        </w:rPr>
      </w:pPr>
      <w:r w:rsidRPr="00496B13">
        <w:rPr>
          <w:rFonts w:eastAsiaTheme="majorEastAsia" w:cstheme="majorBidi"/>
          <w:color w:val="0F4761" w:themeColor="accent1" w:themeShade="BF"/>
          <w:sz w:val="24"/>
          <w:szCs w:val="24"/>
        </w:rPr>
        <w:br w:type="page"/>
      </w:r>
    </w:p>
    <w:p w14:paraId="02B98604" w14:textId="26BC427A" w:rsidR="009D0873" w:rsidRDefault="00926894" w:rsidP="004A5570">
      <w:pPr>
        <w:pStyle w:val="Heading2"/>
      </w:pPr>
      <w:r>
        <w:lastRenderedPageBreak/>
        <w:br/>
      </w:r>
      <w:bookmarkStart w:id="0" w:name="_Toc207613580"/>
      <w:r w:rsidR="009D0873" w:rsidRPr="00496B13">
        <w:t>Introduction</w:t>
      </w:r>
      <w:bookmarkEnd w:id="0"/>
    </w:p>
    <w:p w14:paraId="1141DCB2" w14:textId="77777777" w:rsidR="00926894" w:rsidRPr="00926894" w:rsidRDefault="00926894" w:rsidP="00926894"/>
    <w:p w14:paraId="466FBAB8" w14:textId="77777777" w:rsidR="00321322" w:rsidRPr="00321322" w:rsidRDefault="00321322" w:rsidP="00321322">
      <w:pPr>
        <w:rPr>
          <w:sz w:val="24"/>
          <w:szCs w:val="24"/>
        </w:rPr>
      </w:pPr>
      <w:r w:rsidRPr="00321322">
        <w:rPr>
          <w:sz w:val="24"/>
          <w:szCs w:val="24"/>
        </w:rPr>
        <w:t>Since 1858, Victoria Hall has played a consistent role in Oakham’s civic life. Originally built as the Agricultural Hall, it reflected the practical needs and collaborative spirit of a growing market town. Renamed in 1899 and restored in 2004, the building has adapted over time while retaining its architectural character and community focus.</w:t>
      </w:r>
    </w:p>
    <w:p w14:paraId="475B026E" w14:textId="7E53E65E" w:rsidR="00321322" w:rsidRPr="00321322" w:rsidRDefault="00321322" w:rsidP="00321322">
      <w:pPr>
        <w:rPr>
          <w:sz w:val="24"/>
          <w:szCs w:val="24"/>
        </w:rPr>
      </w:pPr>
      <w:r w:rsidRPr="00321322">
        <w:rPr>
          <w:sz w:val="24"/>
          <w:szCs w:val="24"/>
        </w:rPr>
        <w:t>Today, as a Grade II listed venue, Victoria Hall continues to serve as a flexible space for exhibitions, meetings, performances, and local events. Its central location and distinctive features</w:t>
      </w:r>
      <w:r w:rsidR="00D06F51">
        <w:rPr>
          <w:sz w:val="24"/>
          <w:szCs w:val="24"/>
        </w:rPr>
        <w:t xml:space="preserve">, </w:t>
      </w:r>
      <w:r w:rsidRPr="00321322">
        <w:rPr>
          <w:sz w:val="24"/>
          <w:szCs w:val="24"/>
        </w:rPr>
        <w:t>like the vaulted ceiling and tall Victorian windows—make it both functional and familiar.</w:t>
      </w:r>
    </w:p>
    <w:p w14:paraId="09790AC9" w14:textId="77777777" w:rsidR="00321322" w:rsidRPr="00321322" w:rsidRDefault="00321322" w:rsidP="00321322">
      <w:pPr>
        <w:rPr>
          <w:sz w:val="24"/>
          <w:szCs w:val="24"/>
        </w:rPr>
      </w:pPr>
      <w:r w:rsidRPr="00321322">
        <w:rPr>
          <w:sz w:val="24"/>
          <w:szCs w:val="24"/>
        </w:rPr>
        <w:t xml:space="preserve">Recent events have reaffirmed its value as a public venue. In June 2024, Victoria Hall hosted a live broadcast of </w:t>
      </w:r>
      <w:r w:rsidRPr="00321322">
        <w:rPr>
          <w:i/>
          <w:iCs/>
          <w:sz w:val="24"/>
          <w:szCs w:val="24"/>
        </w:rPr>
        <w:t>Any Questions?</w:t>
      </w:r>
      <w:r w:rsidRPr="00321322">
        <w:rPr>
          <w:sz w:val="24"/>
          <w:szCs w:val="24"/>
        </w:rPr>
        <w:t xml:space="preserve"> from BBC Radio 4, bringing national political dialogue directly to Rutland residents. It has also welcomed Oakham Pride’s Masquerade Ball, seasonal concerts, and regular arts programming—demonstrating its continued relevance across a wide range of community interests.</w:t>
      </w:r>
    </w:p>
    <w:p w14:paraId="039F65D0" w14:textId="206D3FA3" w:rsidR="00321322" w:rsidRPr="00321322" w:rsidRDefault="00321322" w:rsidP="00321322">
      <w:pPr>
        <w:rPr>
          <w:sz w:val="24"/>
          <w:szCs w:val="24"/>
        </w:rPr>
      </w:pPr>
      <w:r w:rsidRPr="00321322">
        <w:rPr>
          <w:sz w:val="24"/>
          <w:szCs w:val="24"/>
        </w:rPr>
        <w:t>Yet despite these successes, the building is now in urgent need of renovation. Years of wear, limited accessibility, and outdated infrastructure are making it increasingly difficult to engage the wider community. The lack of sustained public use has contributed to a financial crisis, and without intervention, there is a real risk that the building may need to be repurposed</w:t>
      </w:r>
      <w:r w:rsidR="00D06F51">
        <w:rPr>
          <w:sz w:val="24"/>
          <w:szCs w:val="24"/>
        </w:rPr>
        <w:t xml:space="preserve">, </w:t>
      </w:r>
      <w:r w:rsidRPr="00321322">
        <w:rPr>
          <w:sz w:val="24"/>
          <w:szCs w:val="24"/>
        </w:rPr>
        <w:t>potentially losing its civic and cultural role altogether.</w:t>
      </w:r>
    </w:p>
    <w:p w14:paraId="15119729" w14:textId="77777777" w:rsidR="00321322" w:rsidRPr="00321322" w:rsidRDefault="00321322" w:rsidP="00321322">
      <w:pPr>
        <w:rPr>
          <w:sz w:val="24"/>
          <w:szCs w:val="24"/>
        </w:rPr>
      </w:pPr>
      <w:r w:rsidRPr="00321322">
        <w:rPr>
          <w:sz w:val="24"/>
          <w:szCs w:val="24"/>
        </w:rPr>
        <w:t>The required investment to refurbish Victoria Hall is substantial. Oakham Town Council is currently considering its role in the Hall’s future and must weigh this decision carefully. While it has not yet taken on direct responsibility, the Council recognises the importance of transparent decision-making, community consultation, and long-term stewardship. Any future involvement would need to be grounded in a clear understanding of costs, benefits, and the building’s potential to serve Oakham’s evolving needs.</w:t>
      </w:r>
    </w:p>
    <w:p w14:paraId="5EE0B504" w14:textId="77777777" w:rsidR="00321322" w:rsidRPr="00321322" w:rsidRDefault="00321322" w:rsidP="00321322">
      <w:pPr>
        <w:rPr>
          <w:sz w:val="24"/>
          <w:szCs w:val="24"/>
        </w:rPr>
      </w:pPr>
      <w:r w:rsidRPr="00321322">
        <w:rPr>
          <w:sz w:val="24"/>
          <w:szCs w:val="24"/>
        </w:rPr>
        <w:t>Victoria Hall has served Oakham for generations. Its future depends on thoughtful leadership, collaborative vision, and a shared commitment to ensuring it remains a space for participation, creativity, and civic life.</w:t>
      </w:r>
    </w:p>
    <w:p w14:paraId="2685216C" w14:textId="77777777" w:rsidR="00321322" w:rsidRDefault="00321322" w:rsidP="00BA7B0F">
      <w:pPr>
        <w:rPr>
          <w:sz w:val="24"/>
          <w:szCs w:val="24"/>
        </w:rPr>
      </w:pPr>
    </w:p>
    <w:p w14:paraId="5B54C3A6" w14:textId="77777777" w:rsidR="004A5570" w:rsidRDefault="00BA7B0F" w:rsidP="00BA4D33">
      <w:pPr>
        <w:rPr>
          <w:sz w:val="24"/>
          <w:szCs w:val="24"/>
        </w:rPr>
      </w:pPr>
      <w:r w:rsidRPr="00BA7B0F">
        <w:rPr>
          <w:sz w:val="24"/>
          <w:szCs w:val="24"/>
        </w:rPr>
        <w:t>.</w:t>
      </w:r>
      <w:r w:rsidR="009D0873" w:rsidRPr="00496B13">
        <w:rPr>
          <w:sz w:val="24"/>
          <w:szCs w:val="24"/>
        </w:rPr>
        <w:br w:type="page"/>
      </w:r>
    </w:p>
    <w:p w14:paraId="6AA1CDED" w14:textId="77777777" w:rsidR="001340D4" w:rsidRDefault="001340D4" w:rsidP="00BA4D33">
      <w:pPr>
        <w:rPr>
          <w:rStyle w:val="Heading2Char"/>
        </w:rPr>
      </w:pPr>
    </w:p>
    <w:p w14:paraId="4E6273CD" w14:textId="5C65DE6E" w:rsidR="00434037" w:rsidRPr="001340D4" w:rsidRDefault="00434037" w:rsidP="00BA4D33">
      <w:pPr>
        <w:rPr>
          <w:rFonts w:asciiTheme="majorHAnsi" w:eastAsiaTheme="majorEastAsia" w:hAnsiTheme="majorHAnsi" w:cstheme="majorBidi"/>
          <w:color w:val="0F4761" w:themeColor="accent1" w:themeShade="BF"/>
          <w:sz w:val="32"/>
          <w:szCs w:val="32"/>
        </w:rPr>
      </w:pPr>
      <w:bookmarkStart w:id="1" w:name="_Toc207613581"/>
      <w:r w:rsidRPr="004A5570">
        <w:rPr>
          <w:rStyle w:val="Heading2Char"/>
        </w:rPr>
        <w:t>Council Engagement Timeline (2025)</w:t>
      </w:r>
      <w:bookmarkEnd w:id="1"/>
      <w:r w:rsidR="00321322">
        <w:rPr>
          <w:rStyle w:val="Heading2Char"/>
        </w:rPr>
        <w:br/>
      </w:r>
      <w:r w:rsidR="00321322">
        <w:rPr>
          <w:sz w:val="24"/>
          <w:szCs w:val="24"/>
        </w:rPr>
        <w:br/>
      </w:r>
      <w:r w:rsidRPr="00496B13">
        <w:rPr>
          <w:b/>
          <w:bCs/>
          <w:sz w:val="24"/>
          <w:szCs w:val="24"/>
        </w:rPr>
        <w:t>Purpose:</w:t>
      </w:r>
      <w:r w:rsidRPr="00496B13">
        <w:rPr>
          <w:sz w:val="24"/>
          <w:szCs w:val="24"/>
        </w:rPr>
        <w:t xml:space="preserve"> To summarise Oakham Town Council’s formal engagement with Victoria Hall throughout 2025, including key decisions, proposals, and strategic planning milestones.</w:t>
      </w:r>
      <w:r w:rsidR="00000000" w:rsidRPr="00496B13">
        <w:rPr>
          <w:sz w:val="24"/>
          <w:szCs w:val="24"/>
        </w:rPr>
        <w:pict w14:anchorId="054DD42F">
          <v:rect id="_x0000_i1065" style="width:0;height:1.5pt" o:hralign="center" o:hrstd="t" o:hr="t" fillcolor="#a0a0a0" stroked="f"/>
        </w:pict>
      </w:r>
      <w:r w:rsidRPr="00496B13">
        <w:rPr>
          <w:b/>
          <w:bCs/>
          <w:sz w:val="24"/>
          <w:szCs w:val="24"/>
        </w:rPr>
        <w:t>January 2025</w:t>
      </w:r>
    </w:p>
    <w:p w14:paraId="32016202" w14:textId="77777777" w:rsidR="00434037" w:rsidRPr="00496B13" w:rsidRDefault="00434037" w:rsidP="00BA4D33">
      <w:pPr>
        <w:rPr>
          <w:sz w:val="24"/>
          <w:szCs w:val="24"/>
        </w:rPr>
      </w:pPr>
      <w:r w:rsidRPr="00496B13">
        <w:rPr>
          <w:b/>
          <w:bCs/>
          <w:sz w:val="24"/>
          <w:szCs w:val="24"/>
        </w:rPr>
        <w:t>8 January – Full Council Meeting</w:t>
      </w:r>
    </w:p>
    <w:p w14:paraId="7A19ABBB" w14:textId="77777777" w:rsidR="00434037" w:rsidRPr="00496B13" w:rsidRDefault="00434037" w:rsidP="00BA4D33">
      <w:pPr>
        <w:rPr>
          <w:sz w:val="24"/>
          <w:szCs w:val="24"/>
        </w:rPr>
      </w:pPr>
      <w:r w:rsidRPr="00496B13">
        <w:rPr>
          <w:sz w:val="24"/>
          <w:szCs w:val="24"/>
        </w:rPr>
        <w:t xml:space="preserve">Council agrees to fund a </w:t>
      </w:r>
      <w:r w:rsidRPr="00496B13">
        <w:rPr>
          <w:b/>
          <w:bCs/>
          <w:sz w:val="24"/>
          <w:szCs w:val="24"/>
        </w:rPr>
        <w:t>£2,400 building survey</w:t>
      </w:r>
      <w:r w:rsidRPr="00496B13">
        <w:rPr>
          <w:sz w:val="24"/>
          <w:szCs w:val="24"/>
        </w:rPr>
        <w:t>, contingent on receiving documentation from Victoria Hall trustees.</w:t>
      </w:r>
    </w:p>
    <w:p w14:paraId="45DE304D" w14:textId="77777777" w:rsidR="00434037" w:rsidRPr="00496B13" w:rsidRDefault="00434037" w:rsidP="00BA4D33">
      <w:pPr>
        <w:rPr>
          <w:sz w:val="24"/>
          <w:szCs w:val="24"/>
        </w:rPr>
      </w:pPr>
      <w:r w:rsidRPr="00496B13">
        <w:rPr>
          <w:sz w:val="24"/>
          <w:szCs w:val="24"/>
        </w:rPr>
        <w:t xml:space="preserve">Initial debate on the council’s potential role as </w:t>
      </w:r>
      <w:r w:rsidRPr="00496B13">
        <w:rPr>
          <w:b/>
          <w:bCs/>
          <w:sz w:val="24"/>
          <w:szCs w:val="24"/>
        </w:rPr>
        <w:t>controlling trustee</w:t>
      </w:r>
      <w:r w:rsidRPr="00496B13">
        <w:rPr>
          <w:sz w:val="24"/>
          <w:szCs w:val="24"/>
        </w:rPr>
        <w:t>.</w:t>
      </w:r>
    </w:p>
    <w:p w14:paraId="77EFCE1D" w14:textId="77777777" w:rsidR="00434037" w:rsidRPr="00496B13" w:rsidRDefault="00434037" w:rsidP="00BA4D33">
      <w:pPr>
        <w:rPr>
          <w:sz w:val="24"/>
          <w:szCs w:val="24"/>
        </w:rPr>
      </w:pPr>
      <w:r w:rsidRPr="00496B13">
        <w:rPr>
          <w:b/>
          <w:bCs/>
          <w:sz w:val="24"/>
          <w:szCs w:val="24"/>
        </w:rPr>
        <w:t>Late January – Trustee Correspondence</w:t>
      </w:r>
    </w:p>
    <w:p w14:paraId="6524CEFE" w14:textId="4B12F9ED" w:rsidR="00434037" w:rsidRPr="00321322" w:rsidRDefault="00434037" w:rsidP="00BA4D33">
      <w:pPr>
        <w:rPr>
          <w:sz w:val="24"/>
          <w:szCs w:val="24"/>
        </w:rPr>
      </w:pPr>
      <w:r w:rsidRPr="00496B13">
        <w:rPr>
          <w:sz w:val="24"/>
          <w:szCs w:val="24"/>
        </w:rPr>
        <w:t>Council formally requests governance documentation to support due diligence and clarify future responsibilities.</w:t>
      </w:r>
      <w:r w:rsidR="00000000" w:rsidRPr="00496B13">
        <w:rPr>
          <w:sz w:val="24"/>
          <w:szCs w:val="24"/>
        </w:rPr>
        <w:pict w14:anchorId="15D1CEFE">
          <v:rect id="_x0000_i1066" style="width:0;height:1.5pt" o:hralign="center" o:hrstd="t" o:hr="t" fillcolor="#a0a0a0" stroked="f"/>
        </w:pict>
      </w:r>
      <w:r w:rsidRPr="00496B13">
        <w:rPr>
          <w:b/>
          <w:bCs/>
          <w:sz w:val="24"/>
          <w:szCs w:val="24"/>
        </w:rPr>
        <w:t>February 2025</w:t>
      </w:r>
    </w:p>
    <w:p w14:paraId="5025CF66" w14:textId="77777777" w:rsidR="00434037" w:rsidRPr="00496B13" w:rsidRDefault="00434037" w:rsidP="00BA4D33">
      <w:pPr>
        <w:rPr>
          <w:sz w:val="24"/>
          <w:szCs w:val="24"/>
        </w:rPr>
      </w:pPr>
      <w:r w:rsidRPr="00496B13">
        <w:rPr>
          <w:b/>
          <w:bCs/>
          <w:sz w:val="24"/>
          <w:szCs w:val="24"/>
        </w:rPr>
        <w:t>12 February – Full Council Meeting</w:t>
      </w:r>
    </w:p>
    <w:p w14:paraId="55924FD3" w14:textId="77777777" w:rsidR="00434037" w:rsidRPr="00496B13" w:rsidRDefault="00434037" w:rsidP="00BA4D33">
      <w:pPr>
        <w:rPr>
          <w:sz w:val="24"/>
          <w:szCs w:val="24"/>
        </w:rPr>
      </w:pPr>
      <w:r w:rsidRPr="00496B13">
        <w:rPr>
          <w:sz w:val="24"/>
          <w:szCs w:val="24"/>
        </w:rPr>
        <w:t>Proposal to relocate council offices to Victoria Hall under a new lease.</w:t>
      </w:r>
    </w:p>
    <w:p w14:paraId="690D2E56" w14:textId="77777777" w:rsidR="00434037" w:rsidRPr="00496B13" w:rsidRDefault="00434037" w:rsidP="00BA4D33">
      <w:pPr>
        <w:rPr>
          <w:sz w:val="24"/>
          <w:szCs w:val="24"/>
        </w:rPr>
      </w:pPr>
      <w:r w:rsidRPr="00496B13">
        <w:rPr>
          <w:sz w:val="24"/>
          <w:szCs w:val="24"/>
        </w:rPr>
        <w:t xml:space="preserve">Approval of </w:t>
      </w:r>
      <w:r w:rsidRPr="00496B13">
        <w:rPr>
          <w:b/>
          <w:bCs/>
          <w:sz w:val="24"/>
          <w:szCs w:val="24"/>
        </w:rPr>
        <w:t>£18,000 boiler replacement</w:t>
      </w:r>
      <w:r w:rsidRPr="00496B13">
        <w:rPr>
          <w:sz w:val="24"/>
          <w:szCs w:val="24"/>
        </w:rPr>
        <w:t xml:space="preserve">, funded via </w:t>
      </w:r>
      <w:r w:rsidRPr="00496B13">
        <w:rPr>
          <w:b/>
          <w:bCs/>
          <w:sz w:val="24"/>
          <w:szCs w:val="24"/>
        </w:rPr>
        <w:t>Community Infrastructure Levy (CIL)</w:t>
      </w:r>
      <w:r w:rsidRPr="00496B13">
        <w:rPr>
          <w:sz w:val="24"/>
          <w:szCs w:val="24"/>
        </w:rPr>
        <w:t>.</w:t>
      </w:r>
    </w:p>
    <w:p w14:paraId="6B976CC4" w14:textId="320ADC61" w:rsidR="00434037" w:rsidRPr="00321322" w:rsidRDefault="00434037" w:rsidP="00BA4D33">
      <w:pPr>
        <w:rPr>
          <w:sz w:val="24"/>
          <w:szCs w:val="24"/>
        </w:rPr>
      </w:pPr>
      <w:r w:rsidRPr="00496B13">
        <w:rPr>
          <w:sz w:val="24"/>
          <w:szCs w:val="24"/>
        </w:rPr>
        <w:t>Strategic use of Victoria Hall as a civic base discussed.</w:t>
      </w:r>
      <w:r w:rsidR="00000000" w:rsidRPr="00496B13">
        <w:rPr>
          <w:sz w:val="24"/>
          <w:szCs w:val="24"/>
        </w:rPr>
        <w:pict w14:anchorId="2CFE976E">
          <v:rect id="_x0000_i1067" style="width:0;height:1.5pt" o:hralign="center" o:hrstd="t" o:hr="t" fillcolor="#a0a0a0" stroked="f"/>
        </w:pict>
      </w:r>
      <w:r w:rsidRPr="00496B13">
        <w:rPr>
          <w:b/>
          <w:bCs/>
          <w:sz w:val="24"/>
          <w:szCs w:val="24"/>
        </w:rPr>
        <w:t>April 2025</w:t>
      </w:r>
    </w:p>
    <w:p w14:paraId="2B347A97" w14:textId="77777777" w:rsidR="00434037" w:rsidRPr="00496B13" w:rsidRDefault="00434037" w:rsidP="00BA4D33">
      <w:pPr>
        <w:rPr>
          <w:sz w:val="24"/>
          <w:szCs w:val="24"/>
        </w:rPr>
      </w:pPr>
      <w:r w:rsidRPr="00496B13">
        <w:rPr>
          <w:b/>
          <w:bCs/>
          <w:sz w:val="24"/>
          <w:szCs w:val="24"/>
        </w:rPr>
        <w:t>9 April – Full Council Meeting</w:t>
      </w:r>
    </w:p>
    <w:p w14:paraId="174FAF2D" w14:textId="77777777" w:rsidR="00434037" w:rsidRPr="00496B13" w:rsidRDefault="00434037" w:rsidP="00BA4D33">
      <w:pPr>
        <w:rPr>
          <w:sz w:val="24"/>
          <w:szCs w:val="24"/>
        </w:rPr>
      </w:pPr>
      <w:r w:rsidRPr="00496B13">
        <w:rPr>
          <w:sz w:val="24"/>
          <w:szCs w:val="24"/>
        </w:rPr>
        <w:t xml:space="preserve">Council confirms intent to relocate to Victoria Hall for a </w:t>
      </w:r>
      <w:r w:rsidRPr="00496B13">
        <w:rPr>
          <w:b/>
          <w:bCs/>
          <w:sz w:val="24"/>
          <w:szCs w:val="24"/>
        </w:rPr>
        <w:t>5-year term</w:t>
      </w:r>
      <w:r w:rsidRPr="00496B13">
        <w:rPr>
          <w:sz w:val="24"/>
          <w:szCs w:val="24"/>
        </w:rPr>
        <w:t>, following satisfactory lease terms.</w:t>
      </w:r>
    </w:p>
    <w:p w14:paraId="67000D4A" w14:textId="77777777" w:rsidR="00434037" w:rsidRPr="00496B13" w:rsidRDefault="00434037" w:rsidP="00BA4D33">
      <w:pPr>
        <w:rPr>
          <w:sz w:val="24"/>
          <w:szCs w:val="24"/>
        </w:rPr>
      </w:pPr>
      <w:r w:rsidRPr="00496B13">
        <w:rPr>
          <w:sz w:val="24"/>
          <w:szCs w:val="24"/>
        </w:rPr>
        <w:t xml:space="preserve">Approval of </w:t>
      </w:r>
      <w:r w:rsidRPr="00496B13">
        <w:rPr>
          <w:b/>
          <w:bCs/>
          <w:sz w:val="24"/>
          <w:szCs w:val="24"/>
        </w:rPr>
        <w:t>£6,500 CIL funding</w:t>
      </w:r>
      <w:r w:rsidRPr="00496B13">
        <w:rPr>
          <w:sz w:val="24"/>
          <w:szCs w:val="24"/>
        </w:rPr>
        <w:t xml:space="preserve"> to create a new meeting facility by merging Unit 39a with the existing room.</w:t>
      </w:r>
    </w:p>
    <w:p w14:paraId="080AB5B7" w14:textId="77777777" w:rsidR="00434037" w:rsidRPr="00496B13" w:rsidRDefault="00434037" w:rsidP="00BA4D33">
      <w:pPr>
        <w:rPr>
          <w:sz w:val="24"/>
          <w:szCs w:val="24"/>
        </w:rPr>
      </w:pPr>
      <w:r w:rsidRPr="00496B13">
        <w:rPr>
          <w:sz w:val="24"/>
          <w:szCs w:val="24"/>
        </w:rPr>
        <w:t>Accessibility upgrades proposed: hearing loop, projection system, and flexible chamber use.</w:t>
      </w:r>
    </w:p>
    <w:p w14:paraId="1DE9DB30" w14:textId="77777777" w:rsidR="00434037" w:rsidRPr="00496B13" w:rsidRDefault="00434037" w:rsidP="00BA4D33">
      <w:pPr>
        <w:rPr>
          <w:sz w:val="24"/>
          <w:szCs w:val="24"/>
        </w:rPr>
      </w:pPr>
      <w:r w:rsidRPr="00496B13">
        <w:rPr>
          <w:sz w:val="24"/>
          <w:szCs w:val="24"/>
        </w:rPr>
        <w:t xml:space="preserve">Additional </w:t>
      </w:r>
      <w:r w:rsidRPr="00496B13">
        <w:rPr>
          <w:b/>
          <w:bCs/>
          <w:sz w:val="24"/>
          <w:szCs w:val="24"/>
        </w:rPr>
        <w:t>£4,800 from reserves</w:t>
      </w:r>
      <w:r w:rsidRPr="00496B13">
        <w:rPr>
          <w:sz w:val="24"/>
          <w:szCs w:val="24"/>
        </w:rPr>
        <w:t xml:space="preserve"> allocated for relocation, redecoration, and IT transfer.</w:t>
      </w:r>
    </w:p>
    <w:p w14:paraId="722834A7" w14:textId="65B54290" w:rsidR="00434037" w:rsidRPr="00496B13" w:rsidRDefault="00434037" w:rsidP="00BA4D33">
      <w:pPr>
        <w:rPr>
          <w:sz w:val="24"/>
          <w:szCs w:val="24"/>
        </w:rPr>
      </w:pPr>
      <w:r w:rsidRPr="00496B13">
        <w:rPr>
          <w:sz w:val="24"/>
          <w:szCs w:val="24"/>
        </w:rPr>
        <w:t xml:space="preserve">Estimated </w:t>
      </w:r>
      <w:r w:rsidRPr="00496B13">
        <w:rPr>
          <w:b/>
          <w:bCs/>
          <w:sz w:val="24"/>
          <w:szCs w:val="24"/>
        </w:rPr>
        <w:t>annual savings of £4,880</w:t>
      </w:r>
      <w:r w:rsidRPr="00496B13">
        <w:rPr>
          <w:sz w:val="24"/>
          <w:szCs w:val="24"/>
        </w:rPr>
        <w:t xml:space="preserve"> from vacating ROL House.</w:t>
      </w:r>
      <w:r w:rsidR="00000000" w:rsidRPr="00496B13">
        <w:rPr>
          <w:sz w:val="24"/>
          <w:szCs w:val="24"/>
        </w:rPr>
        <w:pict w14:anchorId="3E04106E">
          <v:rect id="_x0000_i1068" style="width:0;height:1.5pt" o:hralign="center" o:hrstd="t" o:hr="t" fillcolor="#a0a0a0" stroked="f"/>
        </w:pict>
      </w:r>
    </w:p>
    <w:p w14:paraId="0B78E8C7" w14:textId="217A7966" w:rsidR="00434037" w:rsidRPr="00496B13" w:rsidRDefault="00434037" w:rsidP="00BA4D33">
      <w:pPr>
        <w:rPr>
          <w:b/>
          <w:bCs/>
          <w:sz w:val="24"/>
          <w:szCs w:val="24"/>
        </w:rPr>
      </w:pPr>
      <w:r w:rsidRPr="00496B13">
        <w:rPr>
          <w:rFonts w:cs="Segoe UI Emoji"/>
          <w:b/>
          <w:bCs/>
          <w:sz w:val="24"/>
          <w:szCs w:val="24"/>
        </w:rPr>
        <w:t>September</w:t>
      </w:r>
      <w:r w:rsidRPr="00496B13">
        <w:rPr>
          <w:b/>
          <w:bCs/>
          <w:sz w:val="24"/>
          <w:szCs w:val="24"/>
        </w:rPr>
        <w:t xml:space="preserve"> 2025</w:t>
      </w:r>
    </w:p>
    <w:p w14:paraId="3886C261" w14:textId="77777777" w:rsidR="00434037" w:rsidRPr="00496B13" w:rsidRDefault="00434037" w:rsidP="00BA4D33">
      <w:pPr>
        <w:rPr>
          <w:sz w:val="24"/>
          <w:szCs w:val="24"/>
        </w:rPr>
      </w:pPr>
      <w:r w:rsidRPr="00496B13">
        <w:rPr>
          <w:b/>
          <w:bCs/>
          <w:sz w:val="24"/>
          <w:szCs w:val="24"/>
        </w:rPr>
        <w:t>Consultant Briefing Development</w:t>
      </w:r>
    </w:p>
    <w:p w14:paraId="24DBE3E6" w14:textId="77777777" w:rsidR="00434037" w:rsidRPr="00496B13" w:rsidRDefault="00434037" w:rsidP="00BA4D33">
      <w:pPr>
        <w:rPr>
          <w:sz w:val="24"/>
          <w:szCs w:val="24"/>
        </w:rPr>
      </w:pPr>
      <w:r w:rsidRPr="00496B13">
        <w:rPr>
          <w:sz w:val="24"/>
          <w:szCs w:val="24"/>
        </w:rPr>
        <w:t>Council drafts consultant briefs for asset management and strategic planning.</w:t>
      </w:r>
    </w:p>
    <w:p w14:paraId="22C2AE2C" w14:textId="77777777" w:rsidR="00434037" w:rsidRPr="00496B13" w:rsidRDefault="00434037" w:rsidP="00BA4D33">
      <w:pPr>
        <w:rPr>
          <w:sz w:val="24"/>
          <w:szCs w:val="24"/>
        </w:rPr>
      </w:pPr>
      <w:r w:rsidRPr="00496B13">
        <w:rPr>
          <w:sz w:val="24"/>
          <w:szCs w:val="24"/>
        </w:rPr>
        <w:t>Focus on long-term viability, community use, and governance clarity.</w:t>
      </w:r>
    </w:p>
    <w:p w14:paraId="008E53D7" w14:textId="77777777" w:rsidR="001340D4" w:rsidRDefault="001340D4" w:rsidP="004A5570">
      <w:pPr>
        <w:pStyle w:val="Heading2"/>
      </w:pPr>
    </w:p>
    <w:p w14:paraId="206ABCE1" w14:textId="75C77988" w:rsidR="000275D8" w:rsidRPr="00496B13" w:rsidRDefault="000275D8" w:rsidP="004A5570">
      <w:pPr>
        <w:pStyle w:val="Heading2"/>
      </w:pPr>
      <w:bookmarkStart w:id="2" w:name="_Toc207613582"/>
      <w:r w:rsidRPr="00496B13">
        <w:t>Business Rates (NNDR) Briefing</w:t>
      </w:r>
      <w:bookmarkEnd w:id="2"/>
    </w:p>
    <w:p w14:paraId="39DCCC7F" w14:textId="77777777" w:rsidR="000275D8" w:rsidRPr="00496B13" w:rsidRDefault="000275D8" w:rsidP="000275D8">
      <w:pPr>
        <w:rPr>
          <w:b/>
          <w:bCs/>
          <w:sz w:val="24"/>
          <w:szCs w:val="24"/>
        </w:rPr>
      </w:pPr>
      <w:r w:rsidRPr="00496B13">
        <w:rPr>
          <w:b/>
          <w:bCs/>
          <w:sz w:val="24"/>
          <w:szCs w:val="24"/>
        </w:rPr>
        <w:t>Context</w:t>
      </w:r>
    </w:p>
    <w:p w14:paraId="669DE5EC" w14:textId="77777777" w:rsidR="000275D8" w:rsidRPr="00496B13" w:rsidRDefault="000275D8" w:rsidP="000275D8">
      <w:pPr>
        <w:rPr>
          <w:sz w:val="24"/>
          <w:szCs w:val="24"/>
        </w:rPr>
      </w:pPr>
      <w:r w:rsidRPr="00496B13">
        <w:rPr>
          <w:sz w:val="24"/>
          <w:szCs w:val="24"/>
        </w:rPr>
        <w:t>Oakham Town Council is exploring options to take over Victoria Hall, currently managed by a charitable trust. This insert outlines the potential implications for National Non-Domestic Rates (NNDR), commonly known as business rates.</w:t>
      </w:r>
    </w:p>
    <w:p w14:paraId="528A7B01" w14:textId="77777777" w:rsidR="000275D8" w:rsidRPr="00496B13" w:rsidRDefault="000275D8" w:rsidP="000275D8">
      <w:pPr>
        <w:rPr>
          <w:b/>
          <w:bCs/>
          <w:sz w:val="24"/>
          <w:szCs w:val="24"/>
        </w:rPr>
      </w:pPr>
      <w:r w:rsidRPr="00496B13">
        <w:rPr>
          <w:b/>
          <w:bCs/>
          <w:sz w:val="24"/>
          <w:szCs w:val="24"/>
        </w:rPr>
        <w:t>Key Considerations</w:t>
      </w:r>
    </w:p>
    <w:p w14:paraId="259DC143" w14:textId="77777777" w:rsidR="000275D8" w:rsidRPr="00496B13" w:rsidRDefault="000275D8" w:rsidP="000275D8">
      <w:pPr>
        <w:numPr>
          <w:ilvl w:val="0"/>
          <w:numId w:val="15"/>
        </w:numPr>
        <w:rPr>
          <w:sz w:val="24"/>
          <w:szCs w:val="24"/>
        </w:rPr>
      </w:pPr>
      <w:r w:rsidRPr="00496B13">
        <w:rPr>
          <w:b/>
          <w:bCs/>
          <w:sz w:val="24"/>
          <w:szCs w:val="24"/>
        </w:rPr>
        <w:t>Ownership vs. Trusteeship</w:t>
      </w:r>
      <w:r w:rsidRPr="00496B13">
        <w:rPr>
          <w:sz w:val="24"/>
          <w:szCs w:val="24"/>
        </w:rPr>
        <w:br/>
        <w:t xml:space="preserve">If the council becomes the </w:t>
      </w:r>
      <w:r w:rsidRPr="00496B13">
        <w:rPr>
          <w:i/>
          <w:iCs/>
          <w:sz w:val="24"/>
          <w:szCs w:val="24"/>
        </w:rPr>
        <w:t>legal owner</w:t>
      </w:r>
      <w:r w:rsidRPr="00496B13">
        <w:rPr>
          <w:sz w:val="24"/>
          <w:szCs w:val="24"/>
        </w:rPr>
        <w:t xml:space="preserve"> or </w:t>
      </w:r>
      <w:r w:rsidRPr="00496B13">
        <w:rPr>
          <w:i/>
          <w:iCs/>
          <w:sz w:val="24"/>
          <w:szCs w:val="24"/>
        </w:rPr>
        <w:t>rateable occupier</w:t>
      </w:r>
      <w:r w:rsidRPr="00496B13">
        <w:rPr>
          <w:sz w:val="24"/>
          <w:szCs w:val="24"/>
        </w:rPr>
        <w:t xml:space="preserve">, it may be liable for NNDR. If it acts as </w:t>
      </w:r>
      <w:r w:rsidRPr="00496B13">
        <w:rPr>
          <w:i/>
          <w:iCs/>
          <w:sz w:val="24"/>
          <w:szCs w:val="24"/>
        </w:rPr>
        <w:t>controlling trustee</w:t>
      </w:r>
      <w:r w:rsidRPr="00496B13">
        <w:rPr>
          <w:sz w:val="24"/>
          <w:szCs w:val="24"/>
        </w:rPr>
        <w:t xml:space="preserve"> and the charitable trust remains active, liability may stay with the trust.</w:t>
      </w:r>
    </w:p>
    <w:p w14:paraId="300BF065" w14:textId="77777777" w:rsidR="000275D8" w:rsidRPr="00496B13" w:rsidRDefault="000275D8" w:rsidP="000275D8">
      <w:pPr>
        <w:numPr>
          <w:ilvl w:val="0"/>
          <w:numId w:val="15"/>
        </w:numPr>
        <w:rPr>
          <w:sz w:val="24"/>
          <w:szCs w:val="24"/>
        </w:rPr>
      </w:pPr>
      <w:r w:rsidRPr="00496B13">
        <w:rPr>
          <w:b/>
          <w:bCs/>
          <w:sz w:val="24"/>
          <w:szCs w:val="24"/>
        </w:rPr>
        <w:t>Charitable Relief</w:t>
      </w:r>
      <w:r w:rsidRPr="00496B13">
        <w:rPr>
          <w:sz w:val="24"/>
          <w:szCs w:val="24"/>
        </w:rPr>
        <w:br/>
        <w:t>Buildings used for charitable purposes may qualify for:</w:t>
      </w:r>
    </w:p>
    <w:p w14:paraId="5512305A" w14:textId="77777777" w:rsidR="000275D8" w:rsidRPr="00496B13" w:rsidRDefault="000275D8" w:rsidP="000275D8">
      <w:pPr>
        <w:numPr>
          <w:ilvl w:val="1"/>
          <w:numId w:val="15"/>
        </w:numPr>
        <w:rPr>
          <w:sz w:val="24"/>
          <w:szCs w:val="24"/>
        </w:rPr>
      </w:pPr>
      <w:r w:rsidRPr="00496B13">
        <w:rPr>
          <w:b/>
          <w:bCs/>
          <w:sz w:val="24"/>
          <w:szCs w:val="24"/>
        </w:rPr>
        <w:t>80% mandatory relief</w:t>
      </w:r>
    </w:p>
    <w:p w14:paraId="35D5C87C" w14:textId="77777777" w:rsidR="000275D8" w:rsidRPr="00496B13" w:rsidRDefault="000275D8" w:rsidP="000275D8">
      <w:pPr>
        <w:numPr>
          <w:ilvl w:val="1"/>
          <w:numId w:val="15"/>
        </w:numPr>
        <w:rPr>
          <w:sz w:val="24"/>
          <w:szCs w:val="24"/>
        </w:rPr>
      </w:pPr>
      <w:r w:rsidRPr="00496B13">
        <w:rPr>
          <w:b/>
          <w:bCs/>
          <w:sz w:val="24"/>
          <w:szCs w:val="24"/>
        </w:rPr>
        <w:t>Up to 100% relief</w:t>
      </w:r>
      <w:r w:rsidRPr="00496B13">
        <w:rPr>
          <w:sz w:val="24"/>
          <w:szCs w:val="24"/>
        </w:rPr>
        <w:t xml:space="preserve"> if discretionary relief is granted by the billing authority</w:t>
      </w:r>
    </w:p>
    <w:p w14:paraId="65790414" w14:textId="77777777" w:rsidR="000275D8" w:rsidRPr="00496B13" w:rsidRDefault="000275D8" w:rsidP="000275D8">
      <w:pPr>
        <w:numPr>
          <w:ilvl w:val="0"/>
          <w:numId w:val="15"/>
        </w:numPr>
        <w:rPr>
          <w:sz w:val="24"/>
          <w:szCs w:val="24"/>
        </w:rPr>
      </w:pPr>
      <w:r w:rsidRPr="00496B13">
        <w:rPr>
          <w:b/>
          <w:bCs/>
          <w:sz w:val="24"/>
          <w:szCs w:val="24"/>
        </w:rPr>
        <w:t>Use of the Building</w:t>
      </w:r>
      <w:r w:rsidRPr="00496B13">
        <w:rPr>
          <w:sz w:val="24"/>
          <w:szCs w:val="24"/>
        </w:rPr>
        <w:br/>
        <w:t>Relief depends on how the building is used:</w:t>
      </w:r>
    </w:p>
    <w:p w14:paraId="6E9E5498" w14:textId="77777777" w:rsidR="000275D8" w:rsidRPr="00496B13" w:rsidRDefault="000275D8" w:rsidP="000275D8">
      <w:pPr>
        <w:numPr>
          <w:ilvl w:val="1"/>
          <w:numId w:val="15"/>
        </w:numPr>
        <w:rPr>
          <w:sz w:val="24"/>
          <w:szCs w:val="24"/>
        </w:rPr>
      </w:pPr>
      <w:r w:rsidRPr="00496B13">
        <w:rPr>
          <w:sz w:val="24"/>
          <w:szCs w:val="24"/>
        </w:rPr>
        <w:t>Community, charitable, or public-benefit activities may qualify</w:t>
      </w:r>
    </w:p>
    <w:p w14:paraId="4B20498C" w14:textId="77777777" w:rsidR="000275D8" w:rsidRPr="00496B13" w:rsidRDefault="000275D8" w:rsidP="000275D8">
      <w:pPr>
        <w:numPr>
          <w:ilvl w:val="1"/>
          <w:numId w:val="15"/>
        </w:numPr>
        <w:rPr>
          <w:sz w:val="24"/>
          <w:szCs w:val="24"/>
        </w:rPr>
      </w:pPr>
      <w:r w:rsidRPr="00496B13">
        <w:rPr>
          <w:sz w:val="24"/>
          <w:szCs w:val="24"/>
        </w:rPr>
        <w:t>Council offices or commercial use may not</w:t>
      </w:r>
    </w:p>
    <w:p w14:paraId="30B2634A" w14:textId="77777777" w:rsidR="000275D8" w:rsidRPr="00496B13" w:rsidRDefault="000275D8" w:rsidP="000275D8">
      <w:pPr>
        <w:rPr>
          <w:b/>
          <w:bCs/>
          <w:sz w:val="24"/>
          <w:szCs w:val="24"/>
        </w:rPr>
      </w:pPr>
      <w:r w:rsidRPr="00496B13">
        <w:rPr>
          <w:b/>
          <w:bCs/>
          <w:sz w:val="24"/>
          <w:szCs w:val="24"/>
        </w:rPr>
        <w:t>What Needs Clarifying</w:t>
      </w:r>
    </w:p>
    <w:p w14:paraId="4697E925" w14:textId="77777777" w:rsidR="000275D8" w:rsidRPr="00496B13" w:rsidRDefault="000275D8" w:rsidP="000275D8">
      <w:pPr>
        <w:numPr>
          <w:ilvl w:val="0"/>
          <w:numId w:val="16"/>
        </w:numPr>
        <w:rPr>
          <w:sz w:val="24"/>
          <w:szCs w:val="24"/>
        </w:rPr>
      </w:pPr>
      <w:r w:rsidRPr="00496B13">
        <w:rPr>
          <w:sz w:val="24"/>
          <w:szCs w:val="24"/>
        </w:rPr>
        <w:t>Will the charitable trust remain operational and legally distinct?</w:t>
      </w:r>
    </w:p>
    <w:p w14:paraId="4CD8136C" w14:textId="77777777" w:rsidR="000275D8" w:rsidRPr="00496B13" w:rsidRDefault="000275D8" w:rsidP="000275D8">
      <w:pPr>
        <w:numPr>
          <w:ilvl w:val="0"/>
          <w:numId w:val="16"/>
        </w:numPr>
        <w:rPr>
          <w:sz w:val="24"/>
          <w:szCs w:val="24"/>
        </w:rPr>
      </w:pPr>
      <w:r w:rsidRPr="00496B13">
        <w:rPr>
          <w:sz w:val="24"/>
          <w:szCs w:val="24"/>
        </w:rPr>
        <w:t>What activities will take place in Victoria Hall under council oversight?</w:t>
      </w:r>
    </w:p>
    <w:p w14:paraId="186DEE0E" w14:textId="77777777" w:rsidR="000275D8" w:rsidRPr="00496B13" w:rsidRDefault="000275D8" w:rsidP="000275D8">
      <w:pPr>
        <w:numPr>
          <w:ilvl w:val="0"/>
          <w:numId w:val="16"/>
        </w:numPr>
        <w:rPr>
          <w:sz w:val="24"/>
          <w:szCs w:val="24"/>
        </w:rPr>
      </w:pPr>
      <w:r w:rsidRPr="00496B13">
        <w:rPr>
          <w:sz w:val="24"/>
          <w:szCs w:val="24"/>
        </w:rPr>
        <w:t>Can the council apply for discretionary relief if it becomes rateable occupier?</w:t>
      </w:r>
    </w:p>
    <w:p w14:paraId="4C523E11" w14:textId="77777777" w:rsidR="000275D8" w:rsidRPr="00496B13" w:rsidRDefault="000275D8" w:rsidP="000275D8">
      <w:pPr>
        <w:rPr>
          <w:b/>
          <w:bCs/>
          <w:sz w:val="24"/>
          <w:szCs w:val="24"/>
        </w:rPr>
      </w:pPr>
      <w:r w:rsidRPr="00496B13">
        <w:rPr>
          <w:b/>
          <w:bCs/>
          <w:sz w:val="24"/>
          <w:szCs w:val="24"/>
        </w:rPr>
        <w:t>Next Steps</w:t>
      </w:r>
    </w:p>
    <w:p w14:paraId="0A23E7BF" w14:textId="77777777" w:rsidR="000275D8" w:rsidRPr="00496B13" w:rsidRDefault="000275D8" w:rsidP="000275D8">
      <w:pPr>
        <w:numPr>
          <w:ilvl w:val="0"/>
          <w:numId w:val="17"/>
        </w:numPr>
        <w:rPr>
          <w:sz w:val="24"/>
          <w:szCs w:val="24"/>
        </w:rPr>
      </w:pPr>
      <w:r w:rsidRPr="00496B13">
        <w:rPr>
          <w:sz w:val="24"/>
          <w:szCs w:val="24"/>
        </w:rPr>
        <w:t>Seek legal advice on the structure of trusteeship and rateable occupation</w:t>
      </w:r>
    </w:p>
    <w:p w14:paraId="1E7E4E80" w14:textId="77777777" w:rsidR="000275D8" w:rsidRPr="00496B13" w:rsidRDefault="000275D8" w:rsidP="000275D8">
      <w:pPr>
        <w:numPr>
          <w:ilvl w:val="0"/>
          <w:numId w:val="17"/>
        </w:numPr>
        <w:rPr>
          <w:sz w:val="24"/>
          <w:szCs w:val="24"/>
        </w:rPr>
      </w:pPr>
      <w:r w:rsidRPr="00496B13">
        <w:rPr>
          <w:sz w:val="24"/>
          <w:szCs w:val="24"/>
        </w:rPr>
        <w:t>Engage with Rutland County Council to confirm eligibility for relief</w:t>
      </w:r>
    </w:p>
    <w:p w14:paraId="6E963C3E" w14:textId="77777777" w:rsidR="000275D8" w:rsidRPr="00496B13" w:rsidRDefault="000275D8" w:rsidP="000275D8">
      <w:pPr>
        <w:numPr>
          <w:ilvl w:val="0"/>
          <w:numId w:val="17"/>
        </w:numPr>
        <w:rPr>
          <w:sz w:val="24"/>
          <w:szCs w:val="24"/>
        </w:rPr>
      </w:pPr>
      <w:r w:rsidRPr="00496B13">
        <w:rPr>
          <w:sz w:val="24"/>
          <w:szCs w:val="24"/>
        </w:rPr>
        <w:t>Ensure transparency in how the building will be used and maintained</w:t>
      </w:r>
    </w:p>
    <w:p w14:paraId="5FBEF9FD" w14:textId="668EA385" w:rsidR="000275D8" w:rsidRPr="00496B13" w:rsidRDefault="000275D8">
      <w:pPr>
        <w:rPr>
          <w:b/>
          <w:bCs/>
          <w:sz w:val="24"/>
          <w:szCs w:val="24"/>
        </w:rPr>
      </w:pPr>
      <w:r w:rsidRPr="00496B13">
        <w:rPr>
          <w:b/>
          <w:bCs/>
          <w:sz w:val="24"/>
          <w:szCs w:val="24"/>
        </w:rPr>
        <w:br w:type="page"/>
      </w:r>
    </w:p>
    <w:p w14:paraId="15C42B26" w14:textId="77777777" w:rsidR="001340D4" w:rsidRDefault="001340D4" w:rsidP="004A5570">
      <w:pPr>
        <w:pStyle w:val="Heading2"/>
      </w:pPr>
    </w:p>
    <w:p w14:paraId="489D5C12" w14:textId="7107FFE9" w:rsidR="00115A0B" w:rsidRDefault="00115A0B" w:rsidP="004A5570">
      <w:pPr>
        <w:pStyle w:val="Heading2"/>
      </w:pPr>
      <w:bookmarkStart w:id="3" w:name="_Toc207613583"/>
      <w:r w:rsidRPr="00496B13">
        <w:t>Initial Financial Projection</w:t>
      </w:r>
      <w:r w:rsidR="001949A4" w:rsidRPr="00496B13">
        <w:t xml:space="preserve"> (</w:t>
      </w:r>
      <w:proofErr w:type="spellStart"/>
      <w:r w:rsidR="001949A4" w:rsidRPr="00496B13">
        <w:t>exc</w:t>
      </w:r>
      <w:proofErr w:type="spellEnd"/>
      <w:r w:rsidR="001949A4" w:rsidRPr="00496B13">
        <w:t xml:space="preserve"> VAT)</w:t>
      </w:r>
      <w:bookmarkEnd w:id="3"/>
    </w:p>
    <w:p w14:paraId="505BA698" w14:textId="77777777" w:rsidR="00F92E0C" w:rsidRPr="00F92E0C" w:rsidRDefault="00F92E0C" w:rsidP="00F92E0C">
      <w:pPr>
        <w:rPr>
          <w:sz w:val="24"/>
          <w:szCs w:val="24"/>
        </w:rPr>
      </w:pPr>
      <w:r w:rsidRPr="00F92E0C">
        <w:rPr>
          <w:sz w:val="24"/>
          <w:szCs w:val="24"/>
        </w:rPr>
        <w:t>This initial financial projection draws on figures provided by the Victoria Hall Treasurer and publicly available data from Oakham Town Council’s accounts. It is intended as a guide to projected expenditure and remains subject to change as circumstances evolve.</w:t>
      </w:r>
    </w:p>
    <w:p w14:paraId="671300AA" w14:textId="77777777" w:rsidR="00F92E0C" w:rsidRPr="00F92E0C" w:rsidRDefault="00F92E0C" w:rsidP="00F92E0C">
      <w:pPr>
        <w:rPr>
          <w:sz w:val="24"/>
          <w:szCs w:val="24"/>
        </w:rPr>
      </w:pPr>
      <w:r w:rsidRPr="00F92E0C">
        <w:rPr>
          <w:sz w:val="24"/>
          <w:szCs w:val="24"/>
        </w:rPr>
        <w:t>Capital investment estimates are based on the Building Survey Report by Gatley / Smithers Purslow, dated 2 July 2025.</w:t>
      </w:r>
    </w:p>
    <w:p w14:paraId="16701399" w14:textId="0938052C" w:rsidR="00F92E0C" w:rsidRPr="00F92E0C" w:rsidRDefault="00F92E0C" w:rsidP="00F92E0C">
      <w:pPr>
        <w:rPr>
          <w:sz w:val="24"/>
          <w:szCs w:val="24"/>
        </w:rPr>
      </w:pPr>
      <w:r w:rsidRPr="00F92E0C">
        <w:rPr>
          <w:sz w:val="24"/>
          <w:szCs w:val="24"/>
        </w:rPr>
        <w:t>Should Oakham Town Council choose to proceed, a fully audited business plan will be required to support any future decision-making.</w:t>
      </w:r>
    </w:p>
    <w:p w14:paraId="1AEA8071" w14:textId="60286D4B" w:rsidR="00434037" w:rsidRPr="00496B13" w:rsidRDefault="00F92E0C" w:rsidP="00115A0B">
      <w:pPr>
        <w:rPr>
          <w:sz w:val="24"/>
          <w:szCs w:val="24"/>
        </w:rPr>
      </w:pPr>
      <w:r w:rsidRPr="00F92E0C">
        <w:drawing>
          <wp:inline distT="0" distB="0" distL="0" distR="0" wp14:anchorId="1FB67BDE" wp14:editId="58B62EA6">
            <wp:extent cx="6581775" cy="5800725"/>
            <wp:effectExtent l="0" t="0" r="9525" b="9525"/>
            <wp:docPr id="1205364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1775" cy="5800725"/>
                    </a:xfrm>
                    <a:prstGeom prst="rect">
                      <a:avLst/>
                    </a:prstGeom>
                    <a:noFill/>
                    <a:ln>
                      <a:noFill/>
                    </a:ln>
                  </pic:spPr>
                </pic:pic>
              </a:graphicData>
            </a:graphic>
          </wp:inline>
        </w:drawing>
      </w:r>
    </w:p>
    <w:sectPr w:rsidR="00434037" w:rsidRPr="00496B13" w:rsidSect="00321322">
      <w:headerReference w:type="default" r:id="rId11"/>
      <w:footerReference w:type="defaul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32B5" w14:textId="77777777" w:rsidR="00592B94" w:rsidRDefault="00592B94" w:rsidP="00B649A6">
      <w:pPr>
        <w:spacing w:after="0" w:line="240" w:lineRule="auto"/>
      </w:pPr>
      <w:r>
        <w:separator/>
      </w:r>
    </w:p>
  </w:endnote>
  <w:endnote w:type="continuationSeparator" w:id="0">
    <w:p w14:paraId="5CF81BFD" w14:textId="77777777" w:rsidR="00592B94" w:rsidRDefault="00592B94" w:rsidP="00B6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11318"/>
      <w:docPartObj>
        <w:docPartGallery w:val="Page Numbers (Bottom of Page)"/>
        <w:docPartUnique/>
      </w:docPartObj>
    </w:sdtPr>
    <w:sdtContent>
      <w:sdt>
        <w:sdtPr>
          <w:id w:val="-1769616900"/>
          <w:docPartObj>
            <w:docPartGallery w:val="Page Numbers (Top of Page)"/>
            <w:docPartUnique/>
          </w:docPartObj>
        </w:sdtPr>
        <w:sdtContent>
          <w:p w14:paraId="75CF9A35" w14:textId="352280B2" w:rsidR="000275D8" w:rsidRDefault="000275D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8B7F7E" w14:textId="77777777" w:rsidR="00B649A6" w:rsidRDefault="00B6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43A6" w14:textId="77777777" w:rsidR="00592B94" w:rsidRDefault="00592B94" w:rsidP="00B649A6">
      <w:pPr>
        <w:spacing w:after="0" w:line="240" w:lineRule="auto"/>
      </w:pPr>
      <w:r>
        <w:separator/>
      </w:r>
    </w:p>
  </w:footnote>
  <w:footnote w:type="continuationSeparator" w:id="0">
    <w:p w14:paraId="652AF5C4" w14:textId="77777777" w:rsidR="00592B94" w:rsidRDefault="00592B94" w:rsidP="00B6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F3A1" w14:textId="129038DC" w:rsidR="00B649A6" w:rsidRDefault="000275D8" w:rsidP="000275D8">
    <w:pPr>
      <w:pStyle w:val="Header"/>
      <w:tabs>
        <w:tab w:val="clear" w:pos="4513"/>
        <w:tab w:val="clear" w:pos="9026"/>
        <w:tab w:val="left" w:pos="1380"/>
      </w:tabs>
    </w:pPr>
    <w:r>
      <w:t>Briefing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EC7"/>
    <w:multiLevelType w:val="multilevel"/>
    <w:tmpl w:val="025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3C21"/>
    <w:multiLevelType w:val="multilevel"/>
    <w:tmpl w:val="1D84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E5118"/>
    <w:multiLevelType w:val="multilevel"/>
    <w:tmpl w:val="BE50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D4A3B"/>
    <w:multiLevelType w:val="multilevel"/>
    <w:tmpl w:val="12A23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10751"/>
    <w:multiLevelType w:val="multilevel"/>
    <w:tmpl w:val="C248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54869"/>
    <w:multiLevelType w:val="multilevel"/>
    <w:tmpl w:val="6CE4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E7BEF"/>
    <w:multiLevelType w:val="multilevel"/>
    <w:tmpl w:val="84C0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5554D"/>
    <w:multiLevelType w:val="multilevel"/>
    <w:tmpl w:val="6BB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66D30"/>
    <w:multiLevelType w:val="multilevel"/>
    <w:tmpl w:val="1FE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206D4"/>
    <w:multiLevelType w:val="multilevel"/>
    <w:tmpl w:val="4DA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0586C"/>
    <w:multiLevelType w:val="multilevel"/>
    <w:tmpl w:val="DC6C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F4A69"/>
    <w:multiLevelType w:val="multilevel"/>
    <w:tmpl w:val="9F3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A67D3"/>
    <w:multiLevelType w:val="multilevel"/>
    <w:tmpl w:val="AE8A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B36F1"/>
    <w:multiLevelType w:val="hybridMultilevel"/>
    <w:tmpl w:val="D3867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1462B8"/>
    <w:multiLevelType w:val="multilevel"/>
    <w:tmpl w:val="D59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F38D4"/>
    <w:multiLevelType w:val="multilevel"/>
    <w:tmpl w:val="A86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F0038"/>
    <w:multiLevelType w:val="multilevel"/>
    <w:tmpl w:val="322E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776450">
    <w:abstractNumId w:val="0"/>
  </w:num>
  <w:num w:numId="2" w16cid:durableId="668867948">
    <w:abstractNumId w:val="7"/>
  </w:num>
  <w:num w:numId="3" w16cid:durableId="404957786">
    <w:abstractNumId w:val="14"/>
  </w:num>
  <w:num w:numId="4" w16cid:durableId="1028679698">
    <w:abstractNumId w:val="15"/>
  </w:num>
  <w:num w:numId="5" w16cid:durableId="345638619">
    <w:abstractNumId w:val="9"/>
  </w:num>
  <w:num w:numId="6" w16cid:durableId="223951595">
    <w:abstractNumId w:val="4"/>
  </w:num>
  <w:num w:numId="7" w16cid:durableId="209998259">
    <w:abstractNumId w:val="2"/>
  </w:num>
  <w:num w:numId="8" w16cid:durableId="978069048">
    <w:abstractNumId w:val="16"/>
  </w:num>
  <w:num w:numId="9" w16cid:durableId="724448941">
    <w:abstractNumId w:val="12"/>
  </w:num>
  <w:num w:numId="10" w16cid:durableId="652682814">
    <w:abstractNumId w:val="8"/>
  </w:num>
  <w:num w:numId="11" w16cid:durableId="619797471">
    <w:abstractNumId w:val="10"/>
  </w:num>
  <w:num w:numId="12" w16cid:durableId="260450654">
    <w:abstractNumId w:val="6"/>
  </w:num>
  <w:num w:numId="13" w16cid:durableId="1478575248">
    <w:abstractNumId w:val="5"/>
  </w:num>
  <w:num w:numId="14" w16cid:durableId="1756904300">
    <w:abstractNumId w:val="13"/>
  </w:num>
  <w:num w:numId="15" w16cid:durableId="1712339831">
    <w:abstractNumId w:val="3"/>
  </w:num>
  <w:num w:numId="16" w16cid:durableId="1182283041">
    <w:abstractNumId w:val="1"/>
  </w:num>
  <w:num w:numId="17" w16cid:durableId="829760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D3"/>
    <w:rsid w:val="000275D8"/>
    <w:rsid w:val="00027A8D"/>
    <w:rsid w:val="00087D05"/>
    <w:rsid w:val="000C27E4"/>
    <w:rsid w:val="00115A0B"/>
    <w:rsid w:val="00126C8B"/>
    <w:rsid w:val="001340D4"/>
    <w:rsid w:val="001949A4"/>
    <w:rsid w:val="00321322"/>
    <w:rsid w:val="00434037"/>
    <w:rsid w:val="00496B13"/>
    <w:rsid w:val="004A5570"/>
    <w:rsid w:val="004D2390"/>
    <w:rsid w:val="00592B94"/>
    <w:rsid w:val="005E15D3"/>
    <w:rsid w:val="00642A52"/>
    <w:rsid w:val="007436DB"/>
    <w:rsid w:val="00790641"/>
    <w:rsid w:val="00923E80"/>
    <w:rsid w:val="00926894"/>
    <w:rsid w:val="009D0873"/>
    <w:rsid w:val="009F472E"/>
    <w:rsid w:val="00A31341"/>
    <w:rsid w:val="00A741D0"/>
    <w:rsid w:val="00B649A6"/>
    <w:rsid w:val="00B716AB"/>
    <w:rsid w:val="00BA4D33"/>
    <w:rsid w:val="00BA7B0F"/>
    <w:rsid w:val="00C913AA"/>
    <w:rsid w:val="00D06F51"/>
    <w:rsid w:val="00D8148F"/>
    <w:rsid w:val="00D95393"/>
    <w:rsid w:val="00E455C4"/>
    <w:rsid w:val="00F9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36297"/>
  <w15:chartTrackingRefBased/>
  <w15:docId w15:val="{C9AFEF87-3A5B-451E-98D4-335D37A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1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1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1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5D3"/>
    <w:rPr>
      <w:rFonts w:eastAsiaTheme="majorEastAsia" w:cstheme="majorBidi"/>
      <w:color w:val="272727" w:themeColor="text1" w:themeTint="D8"/>
    </w:rPr>
  </w:style>
  <w:style w:type="paragraph" w:styleId="Title">
    <w:name w:val="Title"/>
    <w:basedOn w:val="Normal"/>
    <w:next w:val="Normal"/>
    <w:link w:val="TitleChar"/>
    <w:uiPriority w:val="10"/>
    <w:qFormat/>
    <w:rsid w:val="005E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5D3"/>
    <w:pPr>
      <w:spacing w:before="160"/>
      <w:jc w:val="center"/>
    </w:pPr>
    <w:rPr>
      <w:i/>
      <w:iCs/>
      <w:color w:val="404040" w:themeColor="text1" w:themeTint="BF"/>
    </w:rPr>
  </w:style>
  <w:style w:type="character" w:customStyle="1" w:styleId="QuoteChar">
    <w:name w:val="Quote Char"/>
    <w:basedOn w:val="DefaultParagraphFont"/>
    <w:link w:val="Quote"/>
    <w:uiPriority w:val="29"/>
    <w:rsid w:val="005E15D3"/>
    <w:rPr>
      <w:i/>
      <w:iCs/>
      <w:color w:val="404040" w:themeColor="text1" w:themeTint="BF"/>
    </w:rPr>
  </w:style>
  <w:style w:type="paragraph" w:styleId="ListParagraph">
    <w:name w:val="List Paragraph"/>
    <w:basedOn w:val="Normal"/>
    <w:uiPriority w:val="34"/>
    <w:qFormat/>
    <w:rsid w:val="005E15D3"/>
    <w:pPr>
      <w:ind w:left="720"/>
      <w:contextualSpacing/>
    </w:pPr>
  </w:style>
  <w:style w:type="character" w:styleId="IntenseEmphasis">
    <w:name w:val="Intense Emphasis"/>
    <w:basedOn w:val="DefaultParagraphFont"/>
    <w:uiPriority w:val="21"/>
    <w:qFormat/>
    <w:rsid w:val="005E15D3"/>
    <w:rPr>
      <w:i/>
      <w:iCs/>
      <w:color w:val="0F4761" w:themeColor="accent1" w:themeShade="BF"/>
    </w:rPr>
  </w:style>
  <w:style w:type="paragraph" w:styleId="IntenseQuote">
    <w:name w:val="Intense Quote"/>
    <w:basedOn w:val="Normal"/>
    <w:next w:val="Normal"/>
    <w:link w:val="IntenseQuoteChar"/>
    <w:uiPriority w:val="30"/>
    <w:qFormat/>
    <w:rsid w:val="005E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5D3"/>
    <w:rPr>
      <w:i/>
      <w:iCs/>
      <w:color w:val="0F4761" w:themeColor="accent1" w:themeShade="BF"/>
    </w:rPr>
  </w:style>
  <w:style w:type="character" w:styleId="IntenseReference">
    <w:name w:val="Intense Reference"/>
    <w:basedOn w:val="DefaultParagraphFont"/>
    <w:uiPriority w:val="32"/>
    <w:qFormat/>
    <w:rsid w:val="005E15D3"/>
    <w:rPr>
      <w:b/>
      <w:bCs/>
      <w:smallCaps/>
      <w:color w:val="0F4761" w:themeColor="accent1" w:themeShade="BF"/>
      <w:spacing w:val="5"/>
    </w:rPr>
  </w:style>
  <w:style w:type="paragraph" w:styleId="NoSpacing">
    <w:name w:val="No Spacing"/>
    <w:link w:val="NoSpacingChar"/>
    <w:uiPriority w:val="1"/>
    <w:qFormat/>
    <w:rsid w:val="0043403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34037"/>
    <w:rPr>
      <w:rFonts w:eastAsiaTheme="minorEastAsia"/>
      <w:kern w:val="0"/>
      <w:lang w:val="en-US"/>
      <w14:ligatures w14:val="none"/>
    </w:rPr>
  </w:style>
  <w:style w:type="paragraph" w:styleId="Header">
    <w:name w:val="header"/>
    <w:basedOn w:val="Normal"/>
    <w:link w:val="HeaderChar"/>
    <w:uiPriority w:val="99"/>
    <w:unhideWhenUsed/>
    <w:rsid w:val="00B64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9A6"/>
  </w:style>
  <w:style w:type="paragraph" w:styleId="Footer">
    <w:name w:val="footer"/>
    <w:basedOn w:val="Normal"/>
    <w:link w:val="FooterChar"/>
    <w:uiPriority w:val="99"/>
    <w:unhideWhenUsed/>
    <w:rsid w:val="00B64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9A6"/>
  </w:style>
  <w:style w:type="paragraph" w:styleId="TOCHeading">
    <w:name w:val="TOC Heading"/>
    <w:basedOn w:val="Heading1"/>
    <w:next w:val="Normal"/>
    <w:uiPriority w:val="39"/>
    <w:unhideWhenUsed/>
    <w:qFormat/>
    <w:rsid w:val="000275D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0275D8"/>
    <w:pPr>
      <w:spacing w:after="100"/>
      <w:ind w:left="220"/>
    </w:pPr>
  </w:style>
  <w:style w:type="character" w:styleId="Hyperlink">
    <w:name w:val="Hyperlink"/>
    <w:basedOn w:val="DefaultParagraphFont"/>
    <w:uiPriority w:val="99"/>
    <w:unhideWhenUsed/>
    <w:rsid w:val="000275D8"/>
    <w:rPr>
      <w:color w:val="467886" w:themeColor="hyperlink"/>
      <w:u w:val="single"/>
    </w:rPr>
  </w:style>
  <w:style w:type="paragraph" w:styleId="TOC1">
    <w:name w:val="toc 1"/>
    <w:basedOn w:val="Normal"/>
    <w:next w:val="Normal"/>
    <w:autoRedefine/>
    <w:uiPriority w:val="39"/>
    <w:unhideWhenUsed/>
    <w:rsid w:val="00BA7B0F"/>
    <w:pPr>
      <w:spacing w:after="100"/>
    </w:pPr>
  </w:style>
  <w:style w:type="paragraph" w:styleId="TOC3">
    <w:name w:val="toc 3"/>
    <w:basedOn w:val="Normal"/>
    <w:next w:val="Normal"/>
    <w:autoRedefine/>
    <w:uiPriority w:val="39"/>
    <w:unhideWhenUsed/>
    <w:rsid w:val="004A55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1786C1B-C2CF-4C64-A99D-F51C9CD012D5}">
  <ds:schemaRefs>
    <ds:schemaRef ds:uri="http://schemas.openxmlformats.org/officeDocument/2006/bibliography"/>
  </ds:schemaRefs>
</ds:datastoreItem>
</file>

<file path=customXml/itemProps2.xml><?xml version="1.0" encoding="utf-8"?>
<ds:datastoreItem xmlns:ds="http://schemas.openxmlformats.org/officeDocument/2006/customXml" ds:itemID="{56B2A4DE-710C-4C4C-9523-9B3D399BB89B}"/>
</file>

<file path=customXml/itemProps3.xml><?xml version="1.0" encoding="utf-8"?>
<ds:datastoreItem xmlns:ds="http://schemas.openxmlformats.org/officeDocument/2006/customXml" ds:itemID="{2E0F10B5-2259-4099-A451-A8AF09137624}"/>
</file>

<file path=customXml/itemProps4.xml><?xml version="1.0" encoding="utf-8"?>
<ds:datastoreItem xmlns:ds="http://schemas.openxmlformats.org/officeDocument/2006/customXml" ds:itemID="{56AB8460-262C-49F7-866D-BC36FE8016E2}"/>
</file>

<file path=docProps/app.xml><?xml version="1.0" encoding="utf-8"?>
<Properties xmlns="http://schemas.openxmlformats.org/officeDocument/2006/extended-properties" xmlns:vt="http://schemas.openxmlformats.org/officeDocument/2006/docPropsVTypes">
  <Template>Normal.dotm</Template>
  <TotalTime>136</TotalTime>
  <Pages>6</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14</cp:revision>
  <dcterms:created xsi:type="dcterms:W3CDTF">2025-08-24T09:46:00Z</dcterms:created>
  <dcterms:modified xsi:type="dcterms:W3CDTF">2025-09-01T09:06:00Z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6595e005-8ea5-4881-b6b1-19c44fa45936</vt:lpwstr>
  </property>
  <property fmtid="{D5CDD505-2E9C-101B-9397-08002B2CF9AE}" pid="3" name="ContentTypeId">
    <vt:lpwstr>0x010100322A804CE645EF438330CAF3CC9F8D5D</vt:lpwstr>
  </property>
</Properties>
</file>