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A7CD" w14:textId="067C41B1" w:rsidR="00D65AB9" w:rsidRDefault="00D65AB9">
      <w:r>
        <w:t>SAW, PA, JB, TT</w:t>
      </w:r>
    </w:p>
    <w:p w14:paraId="1CDF884E" w14:textId="1D4FDC3C" w:rsidR="00D65AB9" w:rsidRPr="005B2112" w:rsidRDefault="00D65AB9" w:rsidP="003E6D55">
      <w:pPr>
        <w:pStyle w:val="Heading2"/>
        <w:numPr>
          <w:ilvl w:val="0"/>
          <w:numId w:val="5"/>
        </w:numPr>
        <w:rPr>
          <w:sz w:val="24"/>
          <w:szCs w:val="24"/>
        </w:rPr>
      </w:pPr>
      <w:r w:rsidRPr="005B2112">
        <w:rPr>
          <w:sz w:val="24"/>
          <w:szCs w:val="24"/>
        </w:rPr>
        <w:t>List of things we will need</w:t>
      </w:r>
      <w:r w:rsidR="005B2112" w:rsidRPr="005B2112">
        <w:rPr>
          <w:sz w:val="24"/>
          <w:szCs w:val="24"/>
        </w:rPr>
        <w:t xml:space="preserve"> before proceeding in earnest</w:t>
      </w:r>
      <w:r w:rsidRPr="005B2112">
        <w:rPr>
          <w:sz w:val="24"/>
          <w:szCs w:val="24"/>
        </w:rPr>
        <w:t>:</w:t>
      </w:r>
    </w:p>
    <w:p w14:paraId="71AC2736" w14:textId="18B8478C" w:rsidR="00D65AB9" w:rsidRPr="003E6D55" w:rsidRDefault="00D65AB9" w:rsidP="003E6D55">
      <w:pPr>
        <w:pStyle w:val="ListParagraph"/>
        <w:numPr>
          <w:ilvl w:val="0"/>
          <w:numId w:val="2"/>
        </w:numPr>
        <w:rPr>
          <w:i/>
          <w:iCs/>
        </w:rPr>
      </w:pPr>
      <w:r w:rsidRPr="003E6D55">
        <w:t>Recent building survey</w:t>
      </w:r>
      <w:r w:rsidR="005B2112">
        <w:t xml:space="preserve"> - </w:t>
      </w:r>
      <w:r w:rsidR="003E6D55" w:rsidRPr="003E6D55">
        <w:rPr>
          <w:i/>
          <w:iCs/>
        </w:rPr>
        <w:t>Things we know about: Boiler, Toilets, Decoration,</w:t>
      </w:r>
      <w:r w:rsidR="005B2112">
        <w:rPr>
          <w:i/>
          <w:iCs/>
        </w:rPr>
        <w:br/>
      </w:r>
    </w:p>
    <w:p w14:paraId="43BF0D73" w14:textId="7E6460B0" w:rsidR="003E6D55" w:rsidRPr="005B2112" w:rsidRDefault="005B2112" w:rsidP="003E6D55">
      <w:pPr>
        <w:pStyle w:val="ListParagraph"/>
        <w:numPr>
          <w:ilvl w:val="0"/>
          <w:numId w:val="2"/>
        </w:numPr>
        <w:rPr>
          <w:i/>
          <w:iCs/>
        </w:rPr>
      </w:pPr>
      <w:r>
        <w:t>Current</w:t>
      </w:r>
      <w:r w:rsidR="003E6D55">
        <w:t xml:space="preserve"> statement of Accounts</w:t>
      </w:r>
      <w:r>
        <w:t xml:space="preserve"> including any grants – </w:t>
      </w:r>
      <w:r w:rsidRPr="005B2112">
        <w:rPr>
          <w:i/>
          <w:iCs/>
        </w:rPr>
        <w:t>what impact might OTC close involvement have on current grants and grants in progress</w:t>
      </w:r>
      <w:r>
        <w:rPr>
          <w:i/>
          <w:iCs/>
        </w:rPr>
        <w:br/>
      </w:r>
    </w:p>
    <w:p w14:paraId="14E5701C" w14:textId="440BD103" w:rsidR="00D65AB9" w:rsidRPr="005B2112" w:rsidRDefault="003E6D55" w:rsidP="003E6D55">
      <w:pPr>
        <w:pStyle w:val="ListParagraph"/>
        <w:numPr>
          <w:ilvl w:val="0"/>
          <w:numId w:val="2"/>
        </w:numPr>
        <w:rPr>
          <w:i/>
          <w:iCs/>
        </w:rPr>
      </w:pPr>
      <w:r>
        <w:t>Copy of the current governing documents</w:t>
      </w:r>
      <w:r w:rsidR="005B2112">
        <w:t xml:space="preserve"> – </w:t>
      </w:r>
      <w:r w:rsidR="005B2112" w:rsidRPr="005B2112">
        <w:rPr>
          <w:i/>
          <w:iCs/>
        </w:rPr>
        <w:t xml:space="preserve">We know that these will need to be updated to reflect </w:t>
      </w:r>
      <w:r w:rsidR="005B2112">
        <w:rPr>
          <w:i/>
          <w:iCs/>
        </w:rPr>
        <w:t xml:space="preserve">the </w:t>
      </w:r>
      <w:r w:rsidR="005B2112" w:rsidRPr="005B2112">
        <w:rPr>
          <w:i/>
          <w:iCs/>
        </w:rPr>
        <w:t xml:space="preserve">current </w:t>
      </w:r>
      <w:r w:rsidR="005B2112">
        <w:rPr>
          <w:i/>
          <w:iCs/>
        </w:rPr>
        <w:t>ambitions of the trustees</w:t>
      </w:r>
      <w:r w:rsidR="005B2112">
        <w:rPr>
          <w:i/>
          <w:iCs/>
        </w:rPr>
        <w:br/>
      </w:r>
    </w:p>
    <w:p w14:paraId="6EAA7660" w14:textId="59C2C162" w:rsidR="005B2112" w:rsidRDefault="005B2112" w:rsidP="003E6D55">
      <w:pPr>
        <w:pStyle w:val="ListParagraph"/>
        <w:numPr>
          <w:ilvl w:val="0"/>
          <w:numId w:val="2"/>
        </w:numPr>
      </w:pPr>
      <w:r>
        <w:t xml:space="preserve">Current long-term leases – </w:t>
      </w:r>
      <w:r w:rsidRPr="005B2112">
        <w:rPr>
          <w:i/>
          <w:iCs/>
        </w:rPr>
        <w:t>Barclays? Shop? Etc.</w:t>
      </w:r>
    </w:p>
    <w:p w14:paraId="246351D9" w14:textId="4EAA9C49" w:rsidR="003E6D55" w:rsidRPr="005B2112" w:rsidRDefault="003E6D55" w:rsidP="003E6D55">
      <w:pPr>
        <w:pStyle w:val="Heading2"/>
        <w:numPr>
          <w:ilvl w:val="0"/>
          <w:numId w:val="5"/>
        </w:numPr>
        <w:rPr>
          <w:sz w:val="24"/>
          <w:szCs w:val="24"/>
        </w:rPr>
      </w:pPr>
      <w:r w:rsidRPr="005B2112">
        <w:rPr>
          <w:sz w:val="24"/>
          <w:szCs w:val="24"/>
        </w:rPr>
        <w:t>Becoming a controlling Trustee</w:t>
      </w:r>
    </w:p>
    <w:p w14:paraId="3C7E6A0A" w14:textId="3B47C99E" w:rsidR="005B2112" w:rsidRPr="00B72119" w:rsidRDefault="003E6D55" w:rsidP="003E6D55">
      <w:pPr>
        <w:ind w:left="720"/>
        <w:rPr>
          <w:i/>
          <w:iCs/>
          <w:color w:val="0F4761" w:themeColor="accent1" w:themeShade="BF"/>
        </w:rPr>
      </w:pPr>
      <w:r w:rsidRPr="00B72119">
        <w:rPr>
          <w:i/>
          <w:iCs/>
          <w:color w:val="0F4761" w:themeColor="accent1" w:themeShade="BF"/>
        </w:rPr>
        <w:t xml:space="preserve">Our current understanding is that </w:t>
      </w:r>
      <w:r w:rsidR="005B2112" w:rsidRPr="00B72119">
        <w:rPr>
          <w:i/>
          <w:iCs/>
          <w:color w:val="0F4761" w:themeColor="accent1" w:themeShade="BF"/>
        </w:rPr>
        <w:t>for</w:t>
      </w:r>
      <w:r w:rsidRPr="00B72119">
        <w:rPr>
          <w:i/>
          <w:iCs/>
          <w:color w:val="0F4761" w:themeColor="accent1" w:themeShade="BF"/>
        </w:rPr>
        <w:t xml:space="preserve"> us to protect the reputation </w:t>
      </w:r>
      <w:r w:rsidR="005B2112" w:rsidRPr="00B72119">
        <w:rPr>
          <w:i/>
          <w:iCs/>
          <w:color w:val="0F4761" w:themeColor="accent1" w:themeShade="BF"/>
        </w:rPr>
        <w:t>of OTC and any financial investment, OTC</w:t>
      </w:r>
      <w:r w:rsidR="00A24CB5" w:rsidRPr="00B72119">
        <w:rPr>
          <w:i/>
          <w:iCs/>
          <w:color w:val="0F4761" w:themeColor="accent1" w:themeShade="BF"/>
        </w:rPr>
        <w:t>,</w:t>
      </w:r>
      <w:r w:rsidR="005B2112" w:rsidRPr="00B72119">
        <w:rPr>
          <w:i/>
          <w:iCs/>
          <w:color w:val="0F4761" w:themeColor="accent1" w:themeShade="BF"/>
        </w:rPr>
        <w:t xml:space="preserve"> </w:t>
      </w:r>
      <w:r w:rsidR="00A24CB5" w:rsidRPr="00B72119">
        <w:rPr>
          <w:i/>
          <w:iCs/>
          <w:color w:val="0F4761" w:themeColor="accent1" w:themeShade="BF"/>
        </w:rPr>
        <w:t xml:space="preserve">as a body, </w:t>
      </w:r>
      <w:r w:rsidR="005B2112" w:rsidRPr="00B72119">
        <w:rPr>
          <w:i/>
          <w:iCs/>
          <w:color w:val="0F4761" w:themeColor="accent1" w:themeShade="BF"/>
        </w:rPr>
        <w:t xml:space="preserve">will need to become a controlling Trustee. </w:t>
      </w:r>
      <w:r w:rsidR="00A24CB5" w:rsidRPr="00B72119">
        <w:rPr>
          <w:i/>
          <w:iCs/>
          <w:color w:val="0F4761" w:themeColor="accent1" w:themeShade="BF"/>
        </w:rPr>
        <w:t xml:space="preserve">We are not </w:t>
      </w:r>
      <w:r w:rsidR="005B2112" w:rsidRPr="00B72119">
        <w:rPr>
          <w:i/>
          <w:iCs/>
          <w:color w:val="0F4761" w:themeColor="accent1" w:themeShade="BF"/>
        </w:rPr>
        <w:t>aware of any other mechanism</w:t>
      </w:r>
      <w:r w:rsidR="00A24CB5" w:rsidRPr="00B72119">
        <w:rPr>
          <w:i/>
          <w:iCs/>
          <w:color w:val="0F4761" w:themeColor="accent1" w:themeShade="BF"/>
        </w:rPr>
        <w:t xml:space="preserve">. </w:t>
      </w:r>
    </w:p>
    <w:p w14:paraId="1147BE69" w14:textId="77B76747" w:rsidR="003E6D55" w:rsidRPr="00DD230B" w:rsidRDefault="003E6D55" w:rsidP="003E6D55">
      <w:pPr>
        <w:ind w:left="720"/>
      </w:pPr>
      <w:r w:rsidRPr="00DD230B">
        <w:t xml:space="preserve">For Oakham Town Council to become a controlling trustee for Victoria Hall, </w:t>
      </w:r>
      <w:r w:rsidR="00B72119">
        <w:t xml:space="preserve">we </w:t>
      </w:r>
      <w:r w:rsidRPr="00DD230B">
        <w:t xml:space="preserve">need to follow a specific process. </w:t>
      </w:r>
      <w:r w:rsidR="00A24CB5">
        <w:t xml:space="preserve">The </w:t>
      </w:r>
      <w:r w:rsidRPr="00DD230B">
        <w:t>general steps involved</w:t>
      </w:r>
      <w:r w:rsidR="00A24CB5">
        <w:t xml:space="preserve"> are</w:t>
      </w:r>
      <w:r w:rsidRPr="00DD230B">
        <w:t>:</w:t>
      </w:r>
    </w:p>
    <w:p w14:paraId="08608E0D" w14:textId="5DCAFE81" w:rsidR="003E6D55" w:rsidRPr="00B72119" w:rsidRDefault="003E6D55" w:rsidP="00B72119">
      <w:pPr>
        <w:numPr>
          <w:ilvl w:val="0"/>
          <w:numId w:val="6"/>
        </w:numPr>
        <w:rPr>
          <w:color w:val="0F4761" w:themeColor="accent1" w:themeShade="BF"/>
        </w:rPr>
      </w:pPr>
      <w:r w:rsidRPr="00DD230B">
        <w:rPr>
          <w:b/>
          <w:bCs/>
        </w:rPr>
        <w:t>Review the Governing Document</w:t>
      </w:r>
      <w:r w:rsidRPr="00DD230B">
        <w:t>: The council should review the governing document of Victoria Hall to understand the current structure and rules regarding trusteeship. This document will outline how trustees are appointed and any specific requirements or restrictions.</w:t>
      </w:r>
      <w:r>
        <w:t xml:space="preserve"> </w:t>
      </w:r>
      <w:r w:rsidR="00B72119">
        <w:br/>
      </w:r>
      <w:r w:rsidR="00B72119" w:rsidRPr="00B72119">
        <w:rPr>
          <w:i/>
          <w:iCs/>
          <w:color w:val="0F4761" w:themeColor="accent1" w:themeShade="BF"/>
        </w:rPr>
        <w:t>W</w:t>
      </w:r>
      <w:r w:rsidRPr="00B72119">
        <w:rPr>
          <w:i/>
          <w:iCs/>
          <w:color w:val="0F4761" w:themeColor="accent1" w:themeShade="BF"/>
        </w:rPr>
        <w:t>e know that this requires updating as it refers to agricultural matters</w:t>
      </w:r>
    </w:p>
    <w:p w14:paraId="7B363C45" w14:textId="538D4845" w:rsidR="003E6D55" w:rsidRPr="00B72119" w:rsidRDefault="003E6D55" w:rsidP="00B72119">
      <w:pPr>
        <w:numPr>
          <w:ilvl w:val="0"/>
          <w:numId w:val="6"/>
        </w:numPr>
        <w:rPr>
          <w:i/>
          <w:iCs/>
          <w:color w:val="0F4761" w:themeColor="accent1" w:themeShade="BF"/>
        </w:rPr>
      </w:pPr>
      <w:r w:rsidRPr="00DD230B">
        <w:rPr>
          <w:b/>
          <w:bCs/>
        </w:rPr>
        <w:t>Engage with Current Trustees</w:t>
      </w:r>
      <w:r w:rsidRPr="00DD230B">
        <w:t xml:space="preserve">: The council should engage with the current trustees of Victoria Hall to discuss the possibility of becoming a controlling trustee. </w:t>
      </w:r>
      <w:r w:rsidR="00B72119">
        <w:br/>
      </w:r>
      <w:r w:rsidRPr="00B72119">
        <w:rPr>
          <w:i/>
          <w:iCs/>
          <w:color w:val="0F4761" w:themeColor="accent1" w:themeShade="BF"/>
        </w:rPr>
        <w:t>This will involve negotiations and agreements on the roles and responsibilities.</w:t>
      </w:r>
    </w:p>
    <w:p w14:paraId="6AB32211" w14:textId="474BCFCE" w:rsidR="003E6D55" w:rsidRPr="00DD230B" w:rsidRDefault="003E6D55" w:rsidP="00B72119">
      <w:pPr>
        <w:numPr>
          <w:ilvl w:val="0"/>
          <w:numId w:val="6"/>
        </w:numPr>
      </w:pPr>
      <w:r w:rsidRPr="00DD230B">
        <w:rPr>
          <w:b/>
          <w:bCs/>
        </w:rPr>
        <w:t>Legal and Regulatory Compliance</w:t>
      </w:r>
      <w:r w:rsidRPr="00DD230B">
        <w:t>: Ensure that all actions comply with the Charity Commission’s regulations and any other relevant legal requirements. </w:t>
      </w:r>
      <w:r w:rsidR="00B72119">
        <w:br/>
      </w:r>
      <w:hyperlink r:id="rId7" w:tgtFrame="_blank" w:history="1">
        <w:r w:rsidRPr="00B72119">
          <w:rPr>
            <w:rStyle w:val="Hyperlink"/>
            <w:i/>
            <w:iCs/>
            <w:color w:val="0F4761" w:themeColor="accent1" w:themeShade="BF"/>
            <w:u w:val="none"/>
          </w:rPr>
          <w:t xml:space="preserve">This </w:t>
        </w:r>
        <w:r w:rsidR="00B72119">
          <w:rPr>
            <w:rStyle w:val="Hyperlink"/>
            <w:i/>
            <w:iCs/>
            <w:color w:val="0F4761" w:themeColor="accent1" w:themeShade="BF"/>
            <w:u w:val="none"/>
          </w:rPr>
          <w:t xml:space="preserve">will </w:t>
        </w:r>
        <w:r w:rsidRPr="00B72119">
          <w:rPr>
            <w:rStyle w:val="Hyperlink"/>
            <w:i/>
            <w:iCs/>
            <w:color w:val="0F4761" w:themeColor="accent1" w:themeShade="BF"/>
            <w:u w:val="none"/>
          </w:rPr>
          <w:t>include updating the charity’s registration details to reflect the new trusteeship arrangement</w:t>
        </w:r>
      </w:hyperlink>
      <w:r w:rsidR="00B72119">
        <w:rPr>
          <w:i/>
          <w:iCs/>
          <w:color w:val="0F4761" w:themeColor="accent1" w:themeShade="BF"/>
        </w:rPr>
        <w:t xml:space="preserve">. </w:t>
      </w:r>
    </w:p>
    <w:p w14:paraId="752EE1E1" w14:textId="2B7C8204" w:rsidR="003E6D55" w:rsidRPr="00DD230B" w:rsidRDefault="003E6D55" w:rsidP="00B72119">
      <w:pPr>
        <w:numPr>
          <w:ilvl w:val="0"/>
          <w:numId w:val="6"/>
        </w:numPr>
      </w:pPr>
      <w:r w:rsidRPr="00DD230B">
        <w:rPr>
          <w:b/>
          <w:bCs/>
        </w:rPr>
        <w:t>Formal Appointment</w:t>
      </w:r>
      <w:r w:rsidRPr="00DD230B">
        <w:t>: The council would need to be formally appointed as trustees. </w:t>
      </w:r>
      <w:r w:rsidR="00B72119">
        <w:br/>
      </w:r>
      <w:hyperlink r:id="rId8" w:tgtFrame="_blank" w:history="1">
        <w:r w:rsidRPr="00B72119">
          <w:rPr>
            <w:rStyle w:val="Hyperlink"/>
            <w:i/>
            <w:iCs/>
            <w:u w:val="none"/>
          </w:rPr>
          <w:t>This could involve a vote by the current trustees or a formal application process, depending on the governing document’s stipulations</w:t>
        </w:r>
      </w:hyperlink>
      <w:r w:rsidR="00B72119">
        <w:rPr>
          <w:i/>
          <w:iCs/>
        </w:rPr>
        <w:t>.</w:t>
      </w:r>
    </w:p>
    <w:p w14:paraId="229C70AC" w14:textId="1E23D30A" w:rsidR="003E6D55" w:rsidRPr="00A24CB5" w:rsidRDefault="003E6D55" w:rsidP="00B72119">
      <w:pPr>
        <w:numPr>
          <w:ilvl w:val="0"/>
          <w:numId w:val="6"/>
        </w:numPr>
      </w:pPr>
      <w:r w:rsidRPr="00DD230B">
        <w:rPr>
          <w:b/>
          <w:bCs/>
        </w:rPr>
        <w:t>Ongoing Management</w:t>
      </w:r>
      <w:r w:rsidRPr="00DD230B">
        <w:t>: Once appointed, the council would need to manage the charity in accordance with its objectives and legal requirements. </w:t>
      </w:r>
      <w:r w:rsidR="00B72119">
        <w:br/>
      </w:r>
      <w:r w:rsidR="00A24CB5" w:rsidRPr="00B72119">
        <w:rPr>
          <w:i/>
          <w:iCs/>
          <w:color w:val="0F4761" w:themeColor="accent1" w:themeShade="BF"/>
        </w:rPr>
        <w:t>We could consider nominating an OTC councillor to attend VH trustee meetings as we have expertise in organising ‘Town’ events and are in negotiation with RCC about rejuvenating the Town Centre.</w:t>
      </w:r>
      <w:r w:rsidR="00B72119">
        <w:br/>
      </w:r>
      <w:hyperlink r:id="rId9" w:tgtFrame="_blank" w:history="1">
        <w:r w:rsidR="00B72119" w:rsidRPr="00B72119">
          <w:rPr>
            <w:rStyle w:val="Hyperlink"/>
            <w:i/>
            <w:iCs/>
            <w:color w:val="0F4761" w:themeColor="accent1" w:themeShade="BF"/>
            <w:u w:val="none"/>
          </w:rPr>
          <w:t>Additional regular meetings, financial oversight, and ensuring the charity’s activities align with its mission</w:t>
        </w:r>
      </w:hyperlink>
      <w:r w:rsidR="00B72119" w:rsidRPr="00B72119">
        <w:rPr>
          <w:i/>
          <w:iCs/>
          <w:color w:val="0F4761" w:themeColor="accent1" w:themeShade="BF"/>
        </w:rPr>
        <w:t xml:space="preserve">. </w:t>
      </w:r>
    </w:p>
    <w:p w14:paraId="51251E64" w14:textId="08F9BD04" w:rsidR="005B2112" w:rsidRPr="00A24CB5" w:rsidRDefault="005B2112" w:rsidP="005B2112">
      <w:pPr>
        <w:pStyle w:val="Heading2"/>
        <w:numPr>
          <w:ilvl w:val="0"/>
          <w:numId w:val="5"/>
        </w:numPr>
        <w:rPr>
          <w:sz w:val="24"/>
          <w:szCs w:val="24"/>
        </w:rPr>
      </w:pPr>
      <w:r w:rsidRPr="00A24CB5">
        <w:rPr>
          <w:sz w:val="24"/>
          <w:szCs w:val="24"/>
        </w:rPr>
        <w:t xml:space="preserve">If we were to move in, under what terms and where. </w:t>
      </w:r>
    </w:p>
    <w:p w14:paraId="3E168B8D" w14:textId="77777777" w:rsidR="00D65AB9" w:rsidRDefault="00D65AB9"/>
    <w:sectPr w:rsidR="00D65AB9" w:rsidSect="00087D05">
      <w:head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513BE" w14:textId="77777777" w:rsidR="00B14686" w:rsidRDefault="00B14686" w:rsidP="00B72119">
      <w:pPr>
        <w:spacing w:after="0" w:line="240" w:lineRule="auto"/>
      </w:pPr>
      <w:r>
        <w:separator/>
      </w:r>
    </w:p>
  </w:endnote>
  <w:endnote w:type="continuationSeparator" w:id="0">
    <w:p w14:paraId="09E7C20B" w14:textId="77777777" w:rsidR="00B14686" w:rsidRDefault="00B14686" w:rsidP="00B7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5A4C2" w14:textId="77777777" w:rsidR="00B14686" w:rsidRDefault="00B14686" w:rsidP="00B72119">
      <w:pPr>
        <w:spacing w:after="0" w:line="240" w:lineRule="auto"/>
      </w:pPr>
      <w:r>
        <w:separator/>
      </w:r>
    </w:p>
  </w:footnote>
  <w:footnote w:type="continuationSeparator" w:id="0">
    <w:p w14:paraId="12964039" w14:textId="77777777" w:rsidR="00B14686" w:rsidRDefault="00B14686" w:rsidP="00B7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0D08" w14:textId="77777777" w:rsidR="00B72119" w:rsidRPr="005B2112" w:rsidRDefault="00B72119" w:rsidP="00B72119">
    <w:pPr>
      <w:rPr>
        <w:b/>
        <w:bCs/>
      </w:rPr>
    </w:pPr>
    <w:r w:rsidRPr="005B2112">
      <w:rPr>
        <w:b/>
        <w:bCs/>
      </w:rPr>
      <w:t>Outline Agenda – VH Initial Meeting 13/12/2024</w:t>
    </w:r>
  </w:p>
  <w:p w14:paraId="5DC82D91" w14:textId="77777777" w:rsidR="00B72119" w:rsidRDefault="00B72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25FD"/>
    <w:multiLevelType w:val="multilevel"/>
    <w:tmpl w:val="793C51CC"/>
    <w:lvl w:ilvl="0">
      <w:start w:val="1"/>
      <w:numFmt w:val="lowerLetter"/>
      <w:lvlText w:val="%1."/>
      <w:lvlJc w:val="left"/>
      <w:pPr>
        <w:tabs>
          <w:tab w:val="num" w:pos="720"/>
        </w:tabs>
        <w:ind w:left="720" w:hanging="360"/>
      </w:pPr>
    </w:lvl>
    <w:lvl w:ilvl="1">
      <w:start w:val="3"/>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528DD"/>
    <w:multiLevelType w:val="hybridMultilevel"/>
    <w:tmpl w:val="2158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05DC3"/>
    <w:multiLevelType w:val="hybridMultilevel"/>
    <w:tmpl w:val="F17239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1B1E15"/>
    <w:multiLevelType w:val="multilevel"/>
    <w:tmpl w:val="B75E2F9E"/>
    <w:lvl w:ilvl="0">
      <w:start w:val="1"/>
      <w:numFmt w:val="decimal"/>
      <w:lvlText w:val="%1."/>
      <w:lvlJc w:val="left"/>
      <w:pPr>
        <w:tabs>
          <w:tab w:val="num" w:pos="720"/>
        </w:tabs>
        <w:ind w:left="720" w:hanging="360"/>
      </w:pPr>
      <w:rPr>
        <w:rFonts w:asciiTheme="majorHAnsi" w:eastAsiaTheme="majorEastAsia" w:hAnsiTheme="majorHAnsi" w:cstheme="maj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277693"/>
    <w:multiLevelType w:val="hybridMultilevel"/>
    <w:tmpl w:val="968AB6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8D207ED"/>
    <w:multiLevelType w:val="multilevel"/>
    <w:tmpl w:val="D500084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425166">
    <w:abstractNumId w:val="3"/>
  </w:num>
  <w:num w:numId="2" w16cid:durableId="1685206088">
    <w:abstractNumId w:val="4"/>
  </w:num>
  <w:num w:numId="3" w16cid:durableId="912005794">
    <w:abstractNumId w:val="1"/>
  </w:num>
  <w:num w:numId="4" w16cid:durableId="152262455">
    <w:abstractNumId w:val="5"/>
  </w:num>
  <w:num w:numId="5" w16cid:durableId="530849487">
    <w:abstractNumId w:val="2"/>
  </w:num>
  <w:num w:numId="6" w16cid:durableId="40156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B9"/>
    <w:rsid w:val="00087D05"/>
    <w:rsid w:val="00126C8B"/>
    <w:rsid w:val="003E6D55"/>
    <w:rsid w:val="005A40EC"/>
    <w:rsid w:val="005B2112"/>
    <w:rsid w:val="006D55E8"/>
    <w:rsid w:val="0076102B"/>
    <w:rsid w:val="00A24CB5"/>
    <w:rsid w:val="00B14686"/>
    <w:rsid w:val="00B72119"/>
    <w:rsid w:val="00C5098F"/>
    <w:rsid w:val="00D6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ADDAC"/>
  <w15:chartTrackingRefBased/>
  <w15:docId w15:val="{02267E25-B7AE-474A-AAF8-2E984F1D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5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5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AB9"/>
    <w:rPr>
      <w:rFonts w:eastAsiaTheme="majorEastAsia" w:cstheme="majorBidi"/>
      <w:color w:val="272727" w:themeColor="text1" w:themeTint="D8"/>
    </w:rPr>
  </w:style>
  <w:style w:type="paragraph" w:styleId="Title">
    <w:name w:val="Title"/>
    <w:basedOn w:val="Normal"/>
    <w:next w:val="Normal"/>
    <w:link w:val="TitleChar"/>
    <w:uiPriority w:val="10"/>
    <w:qFormat/>
    <w:rsid w:val="00D65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AB9"/>
    <w:pPr>
      <w:spacing w:before="160"/>
      <w:jc w:val="center"/>
    </w:pPr>
    <w:rPr>
      <w:i/>
      <w:iCs/>
      <w:color w:val="404040" w:themeColor="text1" w:themeTint="BF"/>
    </w:rPr>
  </w:style>
  <w:style w:type="character" w:customStyle="1" w:styleId="QuoteChar">
    <w:name w:val="Quote Char"/>
    <w:basedOn w:val="DefaultParagraphFont"/>
    <w:link w:val="Quote"/>
    <w:uiPriority w:val="29"/>
    <w:rsid w:val="00D65AB9"/>
    <w:rPr>
      <w:i/>
      <w:iCs/>
      <w:color w:val="404040" w:themeColor="text1" w:themeTint="BF"/>
    </w:rPr>
  </w:style>
  <w:style w:type="paragraph" w:styleId="ListParagraph">
    <w:name w:val="List Paragraph"/>
    <w:basedOn w:val="Normal"/>
    <w:uiPriority w:val="34"/>
    <w:qFormat/>
    <w:rsid w:val="00D65AB9"/>
    <w:pPr>
      <w:ind w:left="720"/>
      <w:contextualSpacing/>
    </w:pPr>
  </w:style>
  <w:style w:type="character" w:styleId="IntenseEmphasis">
    <w:name w:val="Intense Emphasis"/>
    <w:basedOn w:val="DefaultParagraphFont"/>
    <w:uiPriority w:val="21"/>
    <w:qFormat/>
    <w:rsid w:val="00D65AB9"/>
    <w:rPr>
      <w:i/>
      <w:iCs/>
      <w:color w:val="0F4761" w:themeColor="accent1" w:themeShade="BF"/>
    </w:rPr>
  </w:style>
  <w:style w:type="paragraph" w:styleId="IntenseQuote">
    <w:name w:val="Intense Quote"/>
    <w:basedOn w:val="Normal"/>
    <w:next w:val="Normal"/>
    <w:link w:val="IntenseQuoteChar"/>
    <w:uiPriority w:val="30"/>
    <w:qFormat/>
    <w:rsid w:val="00D65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AB9"/>
    <w:rPr>
      <w:i/>
      <w:iCs/>
      <w:color w:val="0F4761" w:themeColor="accent1" w:themeShade="BF"/>
    </w:rPr>
  </w:style>
  <w:style w:type="character" w:styleId="IntenseReference">
    <w:name w:val="Intense Reference"/>
    <w:basedOn w:val="DefaultParagraphFont"/>
    <w:uiPriority w:val="32"/>
    <w:qFormat/>
    <w:rsid w:val="00D65AB9"/>
    <w:rPr>
      <w:b/>
      <w:bCs/>
      <w:smallCaps/>
      <w:color w:val="0F4761" w:themeColor="accent1" w:themeShade="BF"/>
      <w:spacing w:val="5"/>
    </w:rPr>
  </w:style>
  <w:style w:type="character" w:styleId="SubtleReference">
    <w:name w:val="Subtle Reference"/>
    <w:basedOn w:val="DefaultParagraphFont"/>
    <w:uiPriority w:val="31"/>
    <w:qFormat/>
    <w:rsid w:val="00D65AB9"/>
    <w:rPr>
      <w:smallCaps/>
      <w:color w:val="5A5A5A" w:themeColor="text1" w:themeTint="A5"/>
    </w:rPr>
  </w:style>
  <w:style w:type="character" w:styleId="Hyperlink">
    <w:name w:val="Hyperlink"/>
    <w:basedOn w:val="DefaultParagraphFont"/>
    <w:uiPriority w:val="99"/>
    <w:unhideWhenUsed/>
    <w:rsid w:val="003E6D55"/>
    <w:rPr>
      <w:color w:val="467886" w:themeColor="hyperlink"/>
      <w:u w:val="single"/>
    </w:rPr>
  </w:style>
  <w:style w:type="paragraph" w:styleId="Header">
    <w:name w:val="header"/>
    <w:basedOn w:val="Normal"/>
    <w:link w:val="HeaderChar"/>
    <w:uiPriority w:val="99"/>
    <w:unhideWhenUsed/>
    <w:rsid w:val="00B72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119"/>
  </w:style>
  <w:style w:type="paragraph" w:styleId="Footer">
    <w:name w:val="footer"/>
    <w:basedOn w:val="Normal"/>
    <w:link w:val="FooterChar"/>
    <w:uiPriority w:val="99"/>
    <w:unhideWhenUsed/>
    <w:rsid w:val="00B72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of-charities.charitycommission.gov.uk/charity-search/-/charity-details/220946/truste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register-of-charities.charitycommission.gov.uk/charity-search/-/charity-details/220946/trust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gister-of-charities.charitycommission.gov.uk/charity-search/-/charity-details/220946/truste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38D7814A-D0C6-4DD1-9322-73A941936E8D}"/>
</file>

<file path=customXml/itemProps2.xml><?xml version="1.0" encoding="utf-8"?>
<ds:datastoreItem xmlns:ds="http://schemas.openxmlformats.org/officeDocument/2006/customXml" ds:itemID="{9CED5DEB-A171-4897-B347-34AB5FA7F5B3}"/>
</file>

<file path=customXml/itemProps3.xml><?xml version="1.0" encoding="utf-8"?>
<ds:datastoreItem xmlns:ds="http://schemas.openxmlformats.org/officeDocument/2006/customXml" ds:itemID="{67F75B57-BD38-4BFC-82B3-91493F67EC8E}"/>
</file>

<file path=docProps/app.xml><?xml version="1.0" encoding="utf-8"?>
<Properties xmlns="http://schemas.openxmlformats.org/officeDocument/2006/extended-properties" xmlns:vt="http://schemas.openxmlformats.org/officeDocument/2006/docPropsVTypes">
  <Template>Normal.dotm</Template>
  <TotalTime>50</TotalTime>
  <Pages>1</Pages>
  <Words>431</Words>
  <Characters>2375</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2024-12-13T10:05:00Z</dcterms:created>
  <dcterms:modified xsi:type="dcterms:W3CDTF">2024-12-13T13:44:00Z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2f5315ba-c9fe-4257-a11f-644a31438f35</vt:lpwstr>
  </property>
  <property fmtid="{D5CDD505-2E9C-101B-9397-08002B2CF9AE}" pid="3" name="ContentTypeId">
    <vt:lpwstr>0x010100322A804CE645EF438330CAF3CC9F8D5D</vt:lpwstr>
  </property>
</Properties>
</file>