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611834" w14:textId="77777777" w:rsidR="00C40974" w:rsidRDefault="00C40974">
      <w:pPr>
        <w:rPr>
          <w:rFonts w:ascii="Arial" w:hAnsi="Arial" w:cs="Arial"/>
          <w:b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4390"/>
        <w:gridCol w:w="285"/>
        <w:gridCol w:w="4676"/>
      </w:tblGrid>
      <w:tr w:rsidR="00E8349F" w14:paraId="4A6F4BD6" w14:textId="77777777" w:rsidTr="009834B8">
        <w:tc>
          <w:tcPr>
            <w:tcW w:w="4390" w:type="dxa"/>
            <w:tcBorders>
              <w:bottom w:val="single" w:sz="4" w:space="0" w:color="auto"/>
            </w:tcBorders>
          </w:tcPr>
          <w:p w14:paraId="6E8E3D74" w14:textId="47D919DE" w:rsidR="00E8349F" w:rsidRPr="00E8349F" w:rsidRDefault="00E8349F" w:rsidP="00E8349F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004143">
              <w:rPr>
                <w:rFonts w:ascii="Arial" w:hAnsi="Arial" w:cs="Arial"/>
                <w:b/>
              </w:rPr>
              <w:t>Meeting Type:</w:t>
            </w:r>
            <w:r w:rsidR="000846DE">
              <w:rPr>
                <w:rFonts w:ascii="Arial" w:hAnsi="Arial" w:cs="Arial"/>
                <w:b/>
              </w:rPr>
              <w:t xml:space="preserve"> </w:t>
            </w:r>
            <w:r w:rsidR="00667F40">
              <w:rPr>
                <w:rFonts w:ascii="Arial" w:hAnsi="Arial" w:cs="Arial"/>
                <w:bCs/>
              </w:rPr>
              <w:t>Council</w:t>
            </w:r>
          </w:p>
        </w:tc>
        <w:tc>
          <w:tcPr>
            <w:tcW w:w="4961" w:type="dxa"/>
            <w:gridSpan w:val="2"/>
            <w:tcBorders>
              <w:bottom w:val="single" w:sz="4" w:space="0" w:color="auto"/>
            </w:tcBorders>
          </w:tcPr>
          <w:p w14:paraId="61D884E6" w14:textId="71225FFA" w:rsidR="00E8349F" w:rsidRPr="00004143" w:rsidRDefault="00E8349F" w:rsidP="00E8349F">
            <w:pPr>
              <w:rPr>
                <w:rFonts w:ascii="Arial" w:hAnsi="Arial" w:cs="Arial"/>
                <w:b/>
              </w:rPr>
            </w:pPr>
            <w:r w:rsidRPr="00004143">
              <w:rPr>
                <w:rFonts w:ascii="Arial" w:hAnsi="Arial" w:cs="Arial"/>
                <w:b/>
              </w:rPr>
              <w:t>Agenda Item:</w:t>
            </w:r>
            <w:r w:rsidR="00BC55BF">
              <w:rPr>
                <w:rFonts w:ascii="Arial" w:hAnsi="Arial" w:cs="Arial"/>
                <w:b/>
              </w:rPr>
              <w:t xml:space="preserve"> </w:t>
            </w:r>
            <w:r w:rsidR="00BC55BF" w:rsidRPr="00DE71FB">
              <w:rPr>
                <w:rFonts w:ascii="Arial" w:hAnsi="Arial" w:cs="Arial"/>
                <w:bCs/>
              </w:rPr>
              <w:t>14</w:t>
            </w:r>
          </w:p>
        </w:tc>
      </w:tr>
      <w:tr w:rsidR="00E8349F" w14:paraId="47091A02" w14:textId="77777777" w:rsidTr="009834B8">
        <w:tc>
          <w:tcPr>
            <w:tcW w:w="4390" w:type="dxa"/>
            <w:tcBorders>
              <w:bottom w:val="single" w:sz="4" w:space="0" w:color="auto"/>
            </w:tcBorders>
          </w:tcPr>
          <w:p w14:paraId="401DF4F2" w14:textId="75426A50" w:rsidR="00E8349F" w:rsidRPr="00004143" w:rsidRDefault="00E8349F" w:rsidP="00E8349F">
            <w:pPr>
              <w:rPr>
                <w:rFonts w:ascii="Arial" w:hAnsi="Arial" w:cs="Arial"/>
                <w:b/>
              </w:rPr>
            </w:pPr>
            <w:r w:rsidRPr="00004143">
              <w:rPr>
                <w:rFonts w:ascii="Arial" w:hAnsi="Arial" w:cs="Arial"/>
                <w:b/>
              </w:rPr>
              <w:t>Date of Meeting:</w:t>
            </w:r>
            <w:r w:rsidR="00A174AC" w:rsidRPr="00A174AC">
              <w:rPr>
                <w:rFonts w:ascii="Arial" w:hAnsi="Arial" w:cs="Arial"/>
                <w:bCs/>
              </w:rPr>
              <w:t>11 Dec 2024</w:t>
            </w:r>
          </w:p>
        </w:tc>
        <w:tc>
          <w:tcPr>
            <w:tcW w:w="4961" w:type="dxa"/>
            <w:gridSpan w:val="2"/>
            <w:tcBorders>
              <w:bottom w:val="single" w:sz="4" w:space="0" w:color="auto"/>
            </w:tcBorders>
          </w:tcPr>
          <w:p w14:paraId="584AC234" w14:textId="1E6F8456" w:rsidR="00E8349F" w:rsidRPr="00004143" w:rsidRDefault="00E8349F" w:rsidP="00E8349F">
            <w:pPr>
              <w:rPr>
                <w:rFonts w:ascii="Arial" w:hAnsi="Arial" w:cs="Arial"/>
                <w:b/>
              </w:rPr>
            </w:pPr>
          </w:p>
        </w:tc>
      </w:tr>
      <w:tr w:rsidR="00E8349F" w14:paraId="42727003" w14:textId="77777777" w:rsidTr="009834B8">
        <w:tc>
          <w:tcPr>
            <w:tcW w:w="93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702CC6" w14:textId="77777777" w:rsidR="00E8349F" w:rsidRPr="00004143" w:rsidRDefault="00E8349F" w:rsidP="00E8349F">
            <w:pPr>
              <w:rPr>
                <w:rFonts w:ascii="Arial" w:hAnsi="Arial" w:cs="Arial"/>
                <w:b/>
              </w:rPr>
            </w:pPr>
          </w:p>
        </w:tc>
      </w:tr>
      <w:tr w:rsidR="00E8349F" w14:paraId="3B846C65" w14:textId="77777777" w:rsidTr="009834B8">
        <w:tc>
          <w:tcPr>
            <w:tcW w:w="935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1F55D977" w14:textId="5942EF33" w:rsidR="00E8349F" w:rsidRPr="00004143" w:rsidRDefault="00E8349F" w:rsidP="00E8349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004143">
              <w:rPr>
                <w:rFonts w:ascii="Arial" w:hAnsi="Arial" w:cs="Arial"/>
                <w:b/>
                <w:sz w:val="32"/>
                <w:szCs w:val="32"/>
              </w:rPr>
              <w:t>OAKHAM TOWN COUNCIL</w:t>
            </w:r>
          </w:p>
        </w:tc>
      </w:tr>
      <w:tr w:rsidR="00E8349F" w14:paraId="7E68CE8F" w14:textId="77777777" w:rsidTr="009834B8">
        <w:tc>
          <w:tcPr>
            <w:tcW w:w="93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E96230" w14:textId="77777777" w:rsidR="00E8349F" w:rsidRPr="00004143" w:rsidRDefault="00E8349F" w:rsidP="00E8349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8349F" w14:paraId="12AD415E" w14:textId="77777777" w:rsidTr="009834B8">
        <w:trPr>
          <w:trHeight w:val="314"/>
        </w:trPr>
        <w:tc>
          <w:tcPr>
            <w:tcW w:w="46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73100B4" w14:textId="03C1DABC" w:rsidR="00E8349F" w:rsidRPr="00004143" w:rsidRDefault="00E8349F" w:rsidP="00E8349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Report Authors:</w:t>
            </w:r>
            <w:r w:rsidR="00B1760B">
              <w:rPr>
                <w:rFonts w:ascii="Arial" w:hAnsi="Arial" w:cs="Arial"/>
                <w:b/>
              </w:rPr>
              <w:t xml:space="preserve"> </w:t>
            </w:r>
            <w:r w:rsidR="008D3956" w:rsidRPr="008D3956">
              <w:rPr>
                <w:rFonts w:ascii="Arial" w:hAnsi="Arial" w:cs="Arial"/>
                <w:bCs/>
              </w:rPr>
              <w:t>Finance Committee</w:t>
            </w:r>
            <w:r w:rsidR="008D3956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4676" w:type="dxa"/>
            <w:tcBorders>
              <w:top w:val="single" w:sz="4" w:space="0" w:color="auto"/>
              <w:bottom w:val="single" w:sz="4" w:space="0" w:color="auto"/>
            </w:tcBorders>
          </w:tcPr>
          <w:p w14:paraId="64906631" w14:textId="235C9236" w:rsidR="00E8349F" w:rsidRPr="00004143" w:rsidRDefault="00E8349F" w:rsidP="00E8349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Subject</w:t>
            </w:r>
            <w:r w:rsidRPr="00A174AC">
              <w:rPr>
                <w:rFonts w:ascii="Arial" w:hAnsi="Arial" w:cs="Arial"/>
                <w:bCs/>
              </w:rPr>
              <w:t>:</w:t>
            </w:r>
            <w:r w:rsidR="00B1760B" w:rsidRPr="00A174AC">
              <w:rPr>
                <w:rFonts w:ascii="Arial" w:hAnsi="Arial" w:cs="Arial"/>
                <w:bCs/>
              </w:rPr>
              <w:t xml:space="preserve"> </w:t>
            </w:r>
            <w:r w:rsidR="00A174AC" w:rsidRPr="00A174AC">
              <w:rPr>
                <w:rFonts w:ascii="Arial" w:hAnsi="Arial" w:cs="Arial"/>
                <w:bCs/>
              </w:rPr>
              <w:t>Financial Regulations</w:t>
            </w:r>
          </w:p>
        </w:tc>
      </w:tr>
      <w:tr w:rsidR="00E8349F" w14:paraId="0B0B9910" w14:textId="77777777" w:rsidTr="009834B8">
        <w:trPr>
          <w:trHeight w:val="275"/>
        </w:trPr>
        <w:tc>
          <w:tcPr>
            <w:tcW w:w="935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15EC07E" w14:textId="327F9E1D" w:rsidR="00E8349F" w:rsidRDefault="00E8349F" w:rsidP="00E8349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Title:</w:t>
            </w:r>
            <w:r w:rsidR="00B1760B">
              <w:rPr>
                <w:rFonts w:ascii="Arial" w:hAnsi="Arial" w:cs="Arial"/>
                <w:b/>
              </w:rPr>
              <w:t xml:space="preserve"> </w:t>
            </w:r>
            <w:r w:rsidR="00A174AC" w:rsidRPr="00A174AC">
              <w:rPr>
                <w:rFonts w:ascii="Arial" w:hAnsi="Arial" w:cs="Arial"/>
                <w:bCs/>
              </w:rPr>
              <w:t>Update of Financial Regulations</w:t>
            </w:r>
          </w:p>
        </w:tc>
      </w:tr>
      <w:tr w:rsidR="00E8349F" w14:paraId="46E0336B" w14:textId="77777777" w:rsidTr="009834B8">
        <w:tc>
          <w:tcPr>
            <w:tcW w:w="935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18F709F" w14:textId="5AF7DB33" w:rsidR="00E8349F" w:rsidRPr="00A174AC" w:rsidRDefault="0099369F" w:rsidP="009834B8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</w:rPr>
              <w:t>Strategic Aims:</w:t>
            </w:r>
            <w:r w:rsidR="00A174AC">
              <w:rPr>
                <w:rFonts w:ascii="Arial" w:hAnsi="Arial" w:cs="Arial"/>
                <w:b/>
              </w:rPr>
              <w:t xml:space="preserve"> </w:t>
            </w:r>
            <w:r w:rsidR="00A174AC" w:rsidRPr="00A174AC">
              <w:rPr>
                <w:rFonts w:ascii="Arial" w:hAnsi="Arial" w:cs="Arial"/>
                <w:bCs/>
              </w:rPr>
              <w:t>Progress Annual Review of Policies and Procedures</w:t>
            </w:r>
          </w:p>
        </w:tc>
      </w:tr>
      <w:tr w:rsidR="009834B8" w14:paraId="5CE6E870" w14:textId="77777777" w:rsidTr="009834B8">
        <w:tc>
          <w:tcPr>
            <w:tcW w:w="935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68BCB35" w14:textId="77777777" w:rsidR="009834B8" w:rsidRDefault="009834B8" w:rsidP="0099369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Detail:</w:t>
            </w:r>
          </w:p>
          <w:p w14:paraId="1C34F27F" w14:textId="41AB25F2" w:rsidR="00A174AC" w:rsidRPr="00925DA5" w:rsidRDefault="00A174AC" w:rsidP="00A174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  <w:r w:rsidRPr="00925DA5">
              <w:rPr>
                <w:rFonts w:ascii="Arial" w:hAnsi="Arial" w:cs="Arial"/>
              </w:rPr>
              <w:t>The proposed Financial Regulations represent a major update from our previous regulations, especially when considering sections 6-11, Banking and Payments, Electronic Payments, Cheque Payments, Payment Cards, Petty Cash and Payments of Salaries and Allowances</w:t>
            </w:r>
            <w:r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br/>
            </w:r>
          </w:p>
          <w:p w14:paraId="3647BE0A" w14:textId="5DDB9366" w:rsidR="00A174AC" w:rsidRDefault="00A174AC" w:rsidP="00A174AC">
            <w:pPr>
              <w:rPr>
                <w:rFonts w:ascii="Arial" w:hAnsi="Arial" w:cs="Arial"/>
              </w:rPr>
            </w:pPr>
            <w:r w:rsidRPr="002C0146">
              <w:rPr>
                <w:rFonts w:ascii="Arial" w:hAnsi="Arial" w:cs="Arial"/>
              </w:rPr>
              <w:t>Bold text indicates a legal requirement that a council cannot change or suspend.</w:t>
            </w:r>
            <w:r w:rsidRPr="002C0146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 w:rsidRPr="00925DA5">
              <w:rPr>
                <w:rFonts w:ascii="Arial" w:hAnsi="Arial" w:cs="Arial"/>
              </w:rPr>
              <w:t>In 1.5, the clerk is nominated as the RFO and all references to either an RFO or clerk refer to the same post.</w:t>
            </w:r>
            <w:r w:rsidR="008D3956">
              <w:rPr>
                <w:rFonts w:ascii="Arial" w:hAnsi="Arial" w:cs="Arial"/>
              </w:rPr>
              <w:br/>
            </w:r>
          </w:p>
          <w:p w14:paraId="79525F8B" w14:textId="77777777" w:rsidR="00A174AC" w:rsidRPr="002C0146" w:rsidRDefault="00A174AC" w:rsidP="00A174AC">
            <w:pPr>
              <w:rPr>
                <w:rFonts w:ascii="Arial" w:hAnsi="Arial" w:cs="Arial"/>
              </w:rPr>
            </w:pPr>
            <w:r w:rsidRPr="00925DA5">
              <w:rPr>
                <w:rFonts w:ascii="Arial" w:hAnsi="Arial" w:cs="Arial"/>
              </w:rPr>
              <w:t xml:space="preserve">Notes to assist in identifying the amendments made to the </w:t>
            </w:r>
            <w:r>
              <w:rPr>
                <w:rFonts w:ascii="Arial" w:hAnsi="Arial" w:cs="Arial"/>
              </w:rPr>
              <w:t xml:space="preserve">original financial regulations </w:t>
            </w:r>
            <w:r w:rsidRPr="00925DA5">
              <w:rPr>
                <w:rFonts w:ascii="Arial" w:hAnsi="Arial" w:cs="Arial"/>
              </w:rPr>
              <w:t>are as follows:</w:t>
            </w:r>
          </w:p>
          <w:p w14:paraId="6E8B41D7" w14:textId="4CB3D706" w:rsidR="00A174AC" w:rsidRPr="00A174AC" w:rsidRDefault="00A174AC" w:rsidP="00A174AC">
            <w:pPr>
              <w:pStyle w:val="ListParagraph"/>
              <w:numPr>
                <w:ilvl w:val="0"/>
                <w:numId w:val="42"/>
              </w:numPr>
              <w:spacing w:after="160" w:line="259" w:lineRule="auto"/>
              <w:contextualSpacing/>
              <w:rPr>
                <w:rFonts w:ascii="Arial" w:hAnsi="Arial" w:cs="Arial"/>
              </w:rPr>
            </w:pPr>
            <w:r w:rsidRPr="002C0146">
              <w:rPr>
                <w:rFonts w:ascii="Arial" w:hAnsi="Arial" w:cs="Arial"/>
                <w:b/>
                <w:bCs/>
              </w:rPr>
              <w:t>Section 4</w:t>
            </w:r>
            <w:r w:rsidRPr="00925DA5">
              <w:rPr>
                <w:rFonts w:ascii="Arial" w:hAnsi="Arial" w:cs="Arial"/>
              </w:rPr>
              <w:t xml:space="preserve"> determines the timescales and month of delivery when considering the setting of a precept, and calculation of the council tax requirement for each financial year</w:t>
            </w:r>
            <w:r w:rsidRPr="00925DA5">
              <w:rPr>
                <w:rFonts w:ascii="Arial" w:hAnsi="Arial" w:cs="Arial"/>
                <w:b/>
                <w:bCs/>
              </w:rPr>
              <w:t>.</w:t>
            </w:r>
          </w:p>
          <w:p w14:paraId="498530E4" w14:textId="67F43354" w:rsidR="00A174AC" w:rsidRPr="00A174AC" w:rsidRDefault="00A174AC" w:rsidP="00A174AC">
            <w:pPr>
              <w:pStyle w:val="ListParagraph"/>
              <w:numPr>
                <w:ilvl w:val="0"/>
                <w:numId w:val="42"/>
              </w:numPr>
              <w:spacing w:after="160" w:line="259" w:lineRule="auto"/>
              <w:contextualSpacing/>
              <w:rPr>
                <w:rFonts w:ascii="Arial" w:hAnsi="Arial" w:cs="Arial"/>
              </w:rPr>
            </w:pPr>
            <w:r w:rsidRPr="002C0146">
              <w:rPr>
                <w:rFonts w:ascii="Arial" w:hAnsi="Arial" w:cs="Arial"/>
                <w:b/>
                <w:bCs/>
              </w:rPr>
              <w:t>Section 5</w:t>
            </w:r>
            <w:r w:rsidRPr="007A4601">
              <w:rPr>
                <w:rFonts w:ascii="Arial" w:hAnsi="Arial" w:cs="Arial"/>
              </w:rPr>
              <w:t xml:space="preserve"> contains </w:t>
            </w:r>
            <w:r>
              <w:rPr>
                <w:rFonts w:ascii="Arial" w:hAnsi="Arial" w:cs="Arial"/>
              </w:rPr>
              <w:t xml:space="preserve">important </w:t>
            </w:r>
            <w:r w:rsidRPr="007A4601">
              <w:rPr>
                <w:rFonts w:ascii="Arial" w:hAnsi="Arial" w:cs="Arial"/>
              </w:rPr>
              <w:t>revised thresholds and procurement procedures</w:t>
            </w:r>
            <w:r>
              <w:rPr>
                <w:rFonts w:ascii="Arial" w:hAnsi="Arial" w:cs="Arial"/>
              </w:rPr>
              <w:t xml:space="preserve">. </w:t>
            </w:r>
          </w:p>
          <w:p w14:paraId="5692F63D" w14:textId="5AE99B82" w:rsidR="00A174AC" w:rsidRPr="00A174AC" w:rsidRDefault="00A174AC" w:rsidP="00A174AC">
            <w:pPr>
              <w:pStyle w:val="ListParagraph"/>
              <w:numPr>
                <w:ilvl w:val="0"/>
                <w:numId w:val="42"/>
              </w:numPr>
              <w:spacing w:after="160" w:line="259" w:lineRule="auto"/>
              <w:contextualSpacing/>
              <w:rPr>
                <w:rFonts w:ascii="Arial" w:hAnsi="Arial" w:cs="Arial"/>
              </w:rPr>
            </w:pPr>
            <w:r w:rsidRPr="002C0146">
              <w:rPr>
                <w:rFonts w:ascii="Arial" w:hAnsi="Arial" w:cs="Arial"/>
                <w:b/>
                <w:bCs/>
              </w:rPr>
              <w:t>Sections 6 to 10</w:t>
            </w:r>
            <w:r>
              <w:rPr>
                <w:rFonts w:ascii="Arial" w:hAnsi="Arial" w:cs="Arial"/>
              </w:rPr>
              <w:t xml:space="preserve"> bring the banking and payment regulations into line with modern practice and provide a framework for the council to operate in the world of Internet Banking.</w:t>
            </w:r>
          </w:p>
          <w:p w14:paraId="5EFD5375" w14:textId="4EFFA497" w:rsidR="00A174AC" w:rsidRPr="007A4601" w:rsidRDefault="00A174AC" w:rsidP="00A174AC">
            <w:pPr>
              <w:pStyle w:val="ListParagraph"/>
              <w:numPr>
                <w:ilvl w:val="0"/>
                <w:numId w:val="42"/>
              </w:numPr>
              <w:spacing w:after="160" w:line="259" w:lineRule="auto"/>
              <w:contextualSpacing/>
              <w:rPr>
                <w:rFonts w:ascii="Arial" w:hAnsi="Arial" w:cs="Arial"/>
              </w:rPr>
            </w:pPr>
            <w:r w:rsidRPr="002C0146">
              <w:rPr>
                <w:rFonts w:ascii="Arial" w:hAnsi="Arial" w:cs="Arial"/>
                <w:b/>
                <w:bCs/>
              </w:rPr>
              <w:t>Section 11</w:t>
            </w:r>
            <w:r>
              <w:rPr>
                <w:rFonts w:ascii="Arial" w:hAnsi="Arial" w:cs="Arial"/>
              </w:rPr>
              <w:t xml:space="preserve"> clarifies the payment of members' allowances and allows for monthly payments if agreed at full council. The previous section 17, ‘Chairmans Allowance’, has been removed and replaced with section 11. </w:t>
            </w:r>
          </w:p>
          <w:p w14:paraId="0052A158" w14:textId="46978031" w:rsidR="00A174AC" w:rsidRPr="00A174AC" w:rsidRDefault="00A174AC" w:rsidP="00A174AC">
            <w:pPr>
              <w:pStyle w:val="ListParagraph"/>
              <w:numPr>
                <w:ilvl w:val="0"/>
                <w:numId w:val="42"/>
              </w:numPr>
              <w:spacing w:after="160" w:line="259" w:lineRule="auto"/>
              <w:contextualSpacing/>
              <w:rPr>
                <w:rFonts w:ascii="Arial" w:hAnsi="Arial" w:cs="Arial"/>
              </w:rPr>
            </w:pPr>
            <w:r w:rsidRPr="002C0146">
              <w:rPr>
                <w:rFonts w:ascii="Arial" w:hAnsi="Arial" w:cs="Arial"/>
                <w:b/>
                <w:bCs/>
              </w:rPr>
              <w:t>Section 15,</w:t>
            </w:r>
            <w:r>
              <w:rPr>
                <w:rFonts w:ascii="Arial" w:hAnsi="Arial" w:cs="Arial"/>
              </w:rPr>
              <w:t xml:space="preserve"> Stores and Equipment has been removed.</w:t>
            </w:r>
          </w:p>
          <w:p w14:paraId="299082A3" w14:textId="14E7DF29" w:rsidR="00A174AC" w:rsidRPr="00A174AC" w:rsidRDefault="00A174AC" w:rsidP="00A174AC">
            <w:pPr>
              <w:pStyle w:val="ListParagraph"/>
              <w:numPr>
                <w:ilvl w:val="0"/>
                <w:numId w:val="42"/>
              </w:numPr>
              <w:spacing w:after="160" w:line="259" w:lineRule="auto"/>
              <w:contextualSpacing/>
              <w:rPr>
                <w:rFonts w:ascii="Arial" w:hAnsi="Arial" w:cs="Arial"/>
              </w:rPr>
            </w:pPr>
            <w:r w:rsidRPr="002C0146">
              <w:rPr>
                <w:rFonts w:ascii="Arial" w:hAnsi="Arial" w:cs="Arial"/>
                <w:b/>
                <w:bCs/>
              </w:rPr>
              <w:t>Section 17</w:t>
            </w:r>
            <w:r>
              <w:rPr>
                <w:rFonts w:ascii="Arial" w:hAnsi="Arial" w:cs="Arial"/>
              </w:rPr>
              <w:t>, charities, is a new section.</w:t>
            </w:r>
          </w:p>
          <w:p w14:paraId="00DDED58" w14:textId="196A055D" w:rsidR="009834B8" w:rsidRPr="00A174AC" w:rsidRDefault="00A174AC" w:rsidP="0099369F">
            <w:pPr>
              <w:pStyle w:val="ListParagraph"/>
              <w:numPr>
                <w:ilvl w:val="0"/>
                <w:numId w:val="42"/>
              </w:numPr>
              <w:spacing w:after="160" w:line="259" w:lineRule="auto"/>
              <w:contextualSpacing/>
              <w:rPr>
                <w:rFonts w:ascii="Arial" w:hAnsi="Arial" w:cs="Arial"/>
              </w:rPr>
            </w:pPr>
            <w:r w:rsidRPr="00376EB1">
              <w:rPr>
                <w:rFonts w:ascii="Arial" w:hAnsi="Arial" w:cs="Arial"/>
                <w:b/>
                <w:bCs/>
              </w:rPr>
              <w:t>Section 18</w:t>
            </w:r>
            <w:r>
              <w:rPr>
                <w:rFonts w:ascii="Arial" w:hAnsi="Arial" w:cs="Arial"/>
              </w:rPr>
              <w:t>, Reimbursement of Expenses, was not included in the model financial regulations but has been imported into the updated regulations from the original financial regulation</w:t>
            </w:r>
          </w:p>
        </w:tc>
      </w:tr>
      <w:tr w:rsidR="0099369F" w14:paraId="1392BBB9" w14:textId="77777777" w:rsidTr="009834B8">
        <w:tc>
          <w:tcPr>
            <w:tcW w:w="935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1754AFD" w14:textId="6AB4911B" w:rsidR="0099369F" w:rsidRDefault="0099369F" w:rsidP="00E8349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Proposal:</w:t>
            </w:r>
          </w:p>
          <w:p w14:paraId="14120D3E" w14:textId="1EDAF1E7" w:rsidR="0099369F" w:rsidRPr="00C64E4D" w:rsidRDefault="00667F40" w:rsidP="00C64E4D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Following the recommendation of the Finance Committee, adopt the </w:t>
            </w:r>
            <w:r w:rsidRPr="00A174AC">
              <w:rPr>
                <w:rFonts w:ascii="Arial" w:hAnsi="Arial" w:cs="Arial"/>
                <w:bCs/>
              </w:rPr>
              <w:t>revised OTC Financial regulations</w:t>
            </w:r>
            <w:r w:rsidR="00F61081">
              <w:rPr>
                <w:rFonts w:ascii="Arial" w:hAnsi="Arial" w:cs="Arial"/>
                <w:bCs/>
              </w:rPr>
              <w:t xml:space="preserve"> v3. </w:t>
            </w:r>
            <w:r w:rsidR="0087458E" w:rsidRPr="00C64E4D">
              <w:rPr>
                <w:rFonts w:ascii="Arial" w:hAnsi="Arial" w:cs="Arial"/>
                <w:bCs/>
              </w:rPr>
              <w:t xml:space="preserve">The adoption of </w:t>
            </w:r>
            <w:r w:rsidR="00F61081">
              <w:rPr>
                <w:rFonts w:ascii="Arial" w:hAnsi="Arial" w:cs="Arial"/>
                <w:bCs/>
              </w:rPr>
              <w:t xml:space="preserve">the </w:t>
            </w:r>
            <w:r w:rsidR="0087458E" w:rsidRPr="00C64E4D">
              <w:rPr>
                <w:rFonts w:ascii="Arial" w:hAnsi="Arial" w:cs="Arial"/>
                <w:bCs/>
              </w:rPr>
              <w:t xml:space="preserve">revised Financial Regulations will be invoked when the transfer to Lloyds Bank is complete. </w:t>
            </w:r>
          </w:p>
        </w:tc>
      </w:tr>
    </w:tbl>
    <w:p w14:paraId="10E4D02C" w14:textId="77777777" w:rsidR="00F35B44" w:rsidRDefault="00F35B44">
      <w:pPr>
        <w:rPr>
          <w:rFonts w:asciiTheme="majorHAnsi" w:hAnsiTheme="majorHAnsi" w:cstheme="majorHAnsi"/>
          <w:bCs/>
        </w:rPr>
      </w:pPr>
    </w:p>
    <w:p w14:paraId="22274C81" w14:textId="10A123BD" w:rsidR="00C40974" w:rsidRPr="00F35B44" w:rsidRDefault="00DD43C6">
      <w:pPr>
        <w:rPr>
          <w:rFonts w:asciiTheme="majorHAnsi" w:hAnsiTheme="majorHAnsi" w:cstheme="majorHAnsi"/>
          <w:bCs/>
        </w:rPr>
      </w:pPr>
      <w:r w:rsidRPr="00F35B44">
        <w:rPr>
          <w:rFonts w:asciiTheme="majorHAnsi" w:hAnsiTheme="majorHAnsi" w:cstheme="majorHAnsi"/>
          <w:bCs/>
        </w:rPr>
        <w:t>For completion by the office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851"/>
        <w:gridCol w:w="2268"/>
        <w:gridCol w:w="708"/>
        <w:gridCol w:w="2268"/>
        <w:gridCol w:w="850"/>
      </w:tblGrid>
      <w:tr w:rsidR="00F35B44" w:rsidRPr="00F35B44" w14:paraId="3EEFB021" w14:textId="3F5F1D5C" w:rsidTr="002F4A29">
        <w:tc>
          <w:tcPr>
            <w:tcW w:w="2405" w:type="dxa"/>
          </w:tcPr>
          <w:p w14:paraId="3704DFA3" w14:textId="781FFF1C" w:rsidR="00F35B44" w:rsidRPr="003D5C24" w:rsidRDefault="00F35B44" w:rsidP="0055393D">
            <w:pPr>
              <w:rPr>
                <w:rFonts w:asciiTheme="majorHAnsi" w:hAnsiTheme="majorHAnsi" w:cstheme="majorHAnsi"/>
                <w:bCs/>
                <w:i/>
                <w:iCs/>
              </w:rPr>
            </w:pPr>
            <w:r w:rsidRPr="003D5C24">
              <w:rPr>
                <w:rFonts w:asciiTheme="majorHAnsi" w:hAnsiTheme="majorHAnsi" w:cstheme="majorHAnsi"/>
                <w:bCs/>
                <w:i/>
                <w:iCs/>
              </w:rPr>
              <w:t>Budget Head</w:t>
            </w:r>
            <w:r w:rsidR="005E6E50">
              <w:rPr>
                <w:rFonts w:asciiTheme="majorHAnsi" w:hAnsiTheme="majorHAnsi" w:cstheme="majorHAnsi"/>
                <w:bCs/>
                <w:i/>
                <w:iCs/>
              </w:rPr>
              <w:t>er</w:t>
            </w:r>
            <w:r w:rsidRPr="003D5C24">
              <w:rPr>
                <w:rFonts w:asciiTheme="majorHAnsi" w:hAnsiTheme="majorHAnsi" w:cstheme="majorHAnsi"/>
                <w:bCs/>
                <w:i/>
                <w:iCs/>
              </w:rPr>
              <w:t>:</w:t>
            </w:r>
          </w:p>
        </w:tc>
        <w:tc>
          <w:tcPr>
            <w:tcW w:w="6945" w:type="dxa"/>
            <w:gridSpan w:val="5"/>
          </w:tcPr>
          <w:p w14:paraId="3EF62F7C" w14:textId="5CEF6AF3" w:rsidR="00F35B44" w:rsidRPr="00F35B44" w:rsidRDefault="00F35B44" w:rsidP="0055393D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</w:tr>
      <w:tr w:rsidR="004C22BE" w:rsidRPr="00F35B44" w14:paraId="1C973455" w14:textId="05887274" w:rsidTr="002F4A29">
        <w:tc>
          <w:tcPr>
            <w:tcW w:w="2405" w:type="dxa"/>
          </w:tcPr>
          <w:p w14:paraId="0C44C619" w14:textId="4E305F7F" w:rsidR="004C22BE" w:rsidRPr="00F35B44" w:rsidRDefault="000F4388" w:rsidP="004C22BE">
            <w:pPr>
              <w:rPr>
                <w:rFonts w:asciiTheme="majorHAnsi" w:hAnsiTheme="majorHAnsi" w:cstheme="majorHAnsi"/>
                <w:bCs/>
                <w:i/>
                <w:iCs/>
              </w:rPr>
            </w:pPr>
            <w:r>
              <w:rPr>
                <w:rFonts w:asciiTheme="majorHAnsi" w:hAnsiTheme="majorHAnsi" w:cstheme="majorHAnsi"/>
                <w:bCs/>
                <w:i/>
                <w:iCs/>
              </w:rPr>
              <w:t>Propos</w:t>
            </w:r>
            <w:r w:rsidR="002F4A29">
              <w:rPr>
                <w:rFonts w:asciiTheme="majorHAnsi" w:hAnsiTheme="majorHAnsi" w:cstheme="majorHAnsi"/>
                <w:bCs/>
                <w:i/>
                <w:iCs/>
              </w:rPr>
              <w:t>ed</w:t>
            </w:r>
            <w:r>
              <w:rPr>
                <w:rFonts w:asciiTheme="majorHAnsi" w:hAnsiTheme="majorHAnsi" w:cstheme="majorHAnsi"/>
                <w:bCs/>
                <w:i/>
                <w:iCs/>
              </w:rPr>
              <w:t xml:space="preserve"> Expenditure</w:t>
            </w:r>
          </w:p>
        </w:tc>
        <w:tc>
          <w:tcPr>
            <w:tcW w:w="851" w:type="dxa"/>
          </w:tcPr>
          <w:p w14:paraId="457053F8" w14:textId="6597783F" w:rsidR="004C22BE" w:rsidRPr="00F35B44" w:rsidRDefault="004C22BE" w:rsidP="004C22BE">
            <w:pPr>
              <w:rPr>
                <w:rFonts w:asciiTheme="majorHAnsi" w:hAnsiTheme="majorHAnsi" w:cstheme="majorHAnsi"/>
                <w:bCs/>
                <w:i/>
                <w:iCs/>
              </w:rPr>
            </w:pPr>
          </w:p>
        </w:tc>
        <w:tc>
          <w:tcPr>
            <w:tcW w:w="2268" w:type="dxa"/>
          </w:tcPr>
          <w:p w14:paraId="0152355A" w14:textId="507BD9B6" w:rsidR="004C22BE" w:rsidRPr="00F35B44" w:rsidRDefault="004C22BE" w:rsidP="004C22BE">
            <w:pPr>
              <w:rPr>
                <w:rFonts w:asciiTheme="majorHAnsi" w:hAnsiTheme="majorHAnsi" w:cstheme="majorHAnsi"/>
                <w:bCs/>
                <w:i/>
                <w:iCs/>
              </w:rPr>
            </w:pPr>
            <w:r w:rsidRPr="00F35B44">
              <w:rPr>
                <w:rFonts w:asciiTheme="majorHAnsi" w:hAnsiTheme="majorHAnsi" w:cstheme="majorHAnsi"/>
                <w:bCs/>
                <w:i/>
                <w:iCs/>
              </w:rPr>
              <w:t>Initial Budget</w:t>
            </w:r>
          </w:p>
        </w:tc>
        <w:tc>
          <w:tcPr>
            <w:tcW w:w="708" w:type="dxa"/>
          </w:tcPr>
          <w:p w14:paraId="49D57285" w14:textId="152EFA18" w:rsidR="004C22BE" w:rsidRPr="00F35B44" w:rsidRDefault="004C22BE" w:rsidP="004C22BE">
            <w:pPr>
              <w:rPr>
                <w:rFonts w:asciiTheme="majorHAnsi" w:hAnsiTheme="majorHAnsi" w:cstheme="majorHAnsi"/>
                <w:bCs/>
                <w:i/>
                <w:iCs/>
              </w:rPr>
            </w:pPr>
          </w:p>
        </w:tc>
        <w:tc>
          <w:tcPr>
            <w:tcW w:w="2268" w:type="dxa"/>
          </w:tcPr>
          <w:p w14:paraId="2D20E6AE" w14:textId="3A5C07D7" w:rsidR="004C22BE" w:rsidRPr="00F35B44" w:rsidRDefault="004C22BE" w:rsidP="004C22BE">
            <w:pPr>
              <w:rPr>
                <w:rFonts w:asciiTheme="majorHAnsi" w:hAnsiTheme="majorHAnsi" w:cstheme="majorHAnsi"/>
                <w:bCs/>
                <w:i/>
                <w:iCs/>
              </w:rPr>
            </w:pPr>
            <w:r>
              <w:rPr>
                <w:rFonts w:asciiTheme="majorHAnsi" w:hAnsiTheme="majorHAnsi" w:cstheme="majorHAnsi"/>
                <w:bCs/>
                <w:i/>
                <w:iCs/>
              </w:rPr>
              <w:t xml:space="preserve">Unbilled </w:t>
            </w:r>
            <w:r w:rsidRPr="00F35B44">
              <w:rPr>
                <w:rFonts w:asciiTheme="majorHAnsi" w:hAnsiTheme="majorHAnsi" w:cstheme="majorHAnsi"/>
                <w:bCs/>
                <w:i/>
                <w:iCs/>
              </w:rPr>
              <w:t>Expenditure</w:t>
            </w:r>
          </w:p>
        </w:tc>
        <w:tc>
          <w:tcPr>
            <w:tcW w:w="850" w:type="dxa"/>
          </w:tcPr>
          <w:p w14:paraId="5E9B8DC7" w14:textId="77777777" w:rsidR="004C22BE" w:rsidRPr="00F35B44" w:rsidRDefault="004C22BE" w:rsidP="004C22BE">
            <w:pPr>
              <w:rPr>
                <w:rFonts w:asciiTheme="majorHAnsi" w:hAnsiTheme="majorHAnsi" w:cstheme="majorHAnsi"/>
                <w:bCs/>
                <w:i/>
                <w:iCs/>
              </w:rPr>
            </w:pPr>
          </w:p>
        </w:tc>
      </w:tr>
      <w:tr w:rsidR="004C22BE" w:rsidRPr="00F35B44" w14:paraId="7A17051C" w14:textId="77777777" w:rsidTr="002F4A29">
        <w:tc>
          <w:tcPr>
            <w:tcW w:w="2405" w:type="dxa"/>
          </w:tcPr>
          <w:p w14:paraId="75DCA501" w14:textId="16503875" w:rsidR="004C22BE" w:rsidRPr="00F35B44" w:rsidRDefault="004C22BE" w:rsidP="004C22BE">
            <w:pPr>
              <w:rPr>
                <w:rFonts w:asciiTheme="majorHAnsi" w:hAnsiTheme="majorHAnsi" w:cstheme="majorHAnsi"/>
                <w:bCs/>
                <w:i/>
                <w:iCs/>
              </w:rPr>
            </w:pPr>
            <w:r w:rsidRPr="00F35B44">
              <w:rPr>
                <w:rFonts w:asciiTheme="majorHAnsi" w:hAnsiTheme="majorHAnsi" w:cstheme="majorHAnsi"/>
                <w:bCs/>
                <w:i/>
                <w:iCs/>
              </w:rPr>
              <w:t>Budget Remaining</w:t>
            </w:r>
          </w:p>
        </w:tc>
        <w:tc>
          <w:tcPr>
            <w:tcW w:w="851" w:type="dxa"/>
          </w:tcPr>
          <w:p w14:paraId="2CB30AFB" w14:textId="65129994" w:rsidR="004C22BE" w:rsidRPr="00F35B44" w:rsidRDefault="004C22BE" w:rsidP="004C22BE">
            <w:pPr>
              <w:rPr>
                <w:rFonts w:asciiTheme="majorHAnsi" w:hAnsiTheme="majorHAnsi" w:cstheme="majorHAnsi"/>
                <w:bCs/>
                <w:i/>
                <w:iCs/>
              </w:rPr>
            </w:pPr>
          </w:p>
        </w:tc>
        <w:tc>
          <w:tcPr>
            <w:tcW w:w="2268" w:type="dxa"/>
          </w:tcPr>
          <w:p w14:paraId="6BB8FD26" w14:textId="0F87D833" w:rsidR="004C22BE" w:rsidRPr="00F35B44" w:rsidRDefault="004C22BE" w:rsidP="004C22BE">
            <w:pPr>
              <w:rPr>
                <w:rFonts w:asciiTheme="majorHAnsi" w:hAnsiTheme="majorHAnsi" w:cstheme="majorHAnsi"/>
                <w:bCs/>
                <w:i/>
                <w:iCs/>
              </w:rPr>
            </w:pPr>
            <w:r>
              <w:rPr>
                <w:rFonts w:asciiTheme="majorHAnsi" w:hAnsiTheme="majorHAnsi" w:cstheme="majorHAnsi"/>
                <w:bCs/>
                <w:i/>
                <w:iCs/>
              </w:rPr>
              <w:t>Time Sensitive (Y/N)</w:t>
            </w:r>
          </w:p>
        </w:tc>
        <w:tc>
          <w:tcPr>
            <w:tcW w:w="708" w:type="dxa"/>
          </w:tcPr>
          <w:p w14:paraId="32D47CF6" w14:textId="159AB915" w:rsidR="004C22BE" w:rsidRPr="00F35B44" w:rsidRDefault="004C22BE" w:rsidP="004C22BE">
            <w:pPr>
              <w:rPr>
                <w:rFonts w:asciiTheme="majorHAnsi" w:hAnsiTheme="majorHAnsi" w:cstheme="majorHAnsi"/>
                <w:bCs/>
                <w:i/>
                <w:iCs/>
              </w:rPr>
            </w:pPr>
          </w:p>
        </w:tc>
        <w:tc>
          <w:tcPr>
            <w:tcW w:w="2268" w:type="dxa"/>
          </w:tcPr>
          <w:p w14:paraId="1CCAC169" w14:textId="697DE535" w:rsidR="004C22BE" w:rsidRPr="00F35B44" w:rsidRDefault="004C22BE" w:rsidP="004C22BE">
            <w:pPr>
              <w:rPr>
                <w:rFonts w:asciiTheme="majorHAnsi" w:hAnsiTheme="majorHAnsi" w:cstheme="majorHAnsi"/>
                <w:bCs/>
                <w:i/>
                <w:iCs/>
              </w:rPr>
            </w:pPr>
            <w:r>
              <w:rPr>
                <w:rFonts w:asciiTheme="majorHAnsi" w:hAnsiTheme="majorHAnsi" w:cstheme="majorHAnsi"/>
                <w:bCs/>
                <w:i/>
                <w:iCs/>
              </w:rPr>
              <w:t>Expiry Date</w:t>
            </w:r>
          </w:p>
        </w:tc>
        <w:tc>
          <w:tcPr>
            <w:tcW w:w="850" w:type="dxa"/>
          </w:tcPr>
          <w:p w14:paraId="296A9D08" w14:textId="5F44823A" w:rsidR="004C22BE" w:rsidRPr="00F35B44" w:rsidRDefault="004C22BE" w:rsidP="004C22BE">
            <w:pPr>
              <w:rPr>
                <w:rFonts w:asciiTheme="majorHAnsi" w:hAnsiTheme="majorHAnsi" w:cstheme="majorHAnsi"/>
                <w:bCs/>
                <w:i/>
                <w:iCs/>
              </w:rPr>
            </w:pPr>
          </w:p>
        </w:tc>
      </w:tr>
    </w:tbl>
    <w:p w14:paraId="2F35D014" w14:textId="77777777" w:rsidR="00D21952" w:rsidRDefault="00D21952" w:rsidP="0055393D">
      <w:pPr>
        <w:rPr>
          <w:rFonts w:ascii="Arial" w:hAnsi="Arial" w:cs="Arial"/>
          <w:bCs/>
        </w:rPr>
      </w:pPr>
    </w:p>
    <w:sectPr w:rsidR="00D21952" w:rsidSect="000F6C63">
      <w:headerReference w:type="default" r:id="rId7"/>
      <w:pgSz w:w="12240" w:h="15840"/>
      <w:pgMar w:top="567" w:right="1440" w:bottom="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FCD015" w14:textId="77777777" w:rsidR="00434A66" w:rsidRDefault="00434A66" w:rsidP="005E6E50">
      <w:r>
        <w:separator/>
      </w:r>
    </w:p>
  </w:endnote>
  <w:endnote w:type="continuationSeparator" w:id="0">
    <w:p w14:paraId="39BB018F" w14:textId="77777777" w:rsidR="00434A66" w:rsidRDefault="00434A66" w:rsidP="005E6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2F6802" w14:textId="77777777" w:rsidR="00434A66" w:rsidRDefault="00434A66" w:rsidP="005E6E50">
      <w:r>
        <w:separator/>
      </w:r>
    </w:p>
  </w:footnote>
  <w:footnote w:type="continuationSeparator" w:id="0">
    <w:p w14:paraId="48C1C005" w14:textId="77777777" w:rsidR="00434A66" w:rsidRDefault="00434A66" w:rsidP="005E6E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4DEA9A" w14:textId="050F93B2" w:rsidR="005E6E50" w:rsidRPr="005E6E50" w:rsidRDefault="005E6E50">
    <w:pPr>
      <w:pStyle w:val="Header"/>
      <w:rPr>
        <w:sz w:val="20"/>
        <w:szCs w:val="20"/>
        <w:lang w:val="en-GB"/>
      </w:rPr>
    </w:pPr>
    <w:r w:rsidRPr="005E6E50">
      <w:rPr>
        <w:sz w:val="20"/>
        <w:szCs w:val="20"/>
        <w:lang w:val="en-GB"/>
      </w:rPr>
      <w:t>Version 1.</w:t>
    </w:r>
    <w:r w:rsidR="009834B8">
      <w:rPr>
        <w:sz w:val="20"/>
        <w:szCs w:val="20"/>
        <w:lang w:val="en-GB"/>
      </w:rPr>
      <w:t>2</w:t>
    </w:r>
    <w:r w:rsidRPr="005E6E50">
      <w:rPr>
        <w:sz w:val="20"/>
        <w:szCs w:val="20"/>
        <w:lang w:val="en-GB"/>
      </w:rPr>
      <w:t xml:space="preserve"> 1</w:t>
    </w:r>
    <w:r w:rsidRPr="005E6E50">
      <w:rPr>
        <w:sz w:val="20"/>
        <w:szCs w:val="20"/>
        <w:vertAlign w:val="superscript"/>
        <w:lang w:val="en-GB"/>
      </w:rPr>
      <w:t>st</w:t>
    </w:r>
    <w:r w:rsidRPr="005E6E50">
      <w:rPr>
        <w:sz w:val="20"/>
        <w:szCs w:val="20"/>
        <w:lang w:val="en-GB"/>
      </w:rPr>
      <w:t xml:space="preserve">  </w:t>
    </w:r>
    <w:r w:rsidR="009834B8">
      <w:rPr>
        <w:sz w:val="20"/>
        <w:szCs w:val="20"/>
        <w:lang w:val="en-GB"/>
      </w:rPr>
      <w:t>November</w:t>
    </w:r>
    <w:r w:rsidRPr="005E6E50">
      <w:rPr>
        <w:sz w:val="20"/>
        <w:szCs w:val="20"/>
        <w:lang w:val="en-GB"/>
      </w:rPr>
      <w:t xml:space="preserve">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9F435F"/>
    <w:multiLevelType w:val="hybridMultilevel"/>
    <w:tmpl w:val="4CD4C2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3B17A9"/>
    <w:multiLevelType w:val="hybridMultilevel"/>
    <w:tmpl w:val="7D42AD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085A7F"/>
    <w:multiLevelType w:val="hybridMultilevel"/>
    <w:tmpl w:val="F2AA2B08"/>
    <w:lvl w:ilvl="0" w:tplc="6A84E1AA">
      <w:start w:val="1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587935"/>
    <w:multiLevelType w:val="hybridMultilevel"/>
    <w:tmpl w:val="5CB4C8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247E33"/>
    <w:multiLevelType w:val="hybridMultilevel"/>
    <w:tmpl w:val="18B08C22"/>
    <w:lvl w:ilvl="0" w:tplc="81CE436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E53943"/>
    <w:multiLevelType w:val="hybridMultilevel"/>
    <w:tmpl w:val="DAE4E0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8B132B"/>
    <w:multiLevelType w:val="hybridMultilevel"/>
    <w:tmpl w:val="02DCF9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D3708C"/>
    <w:multiLevelType w:val="hybridMultilevel"/>
    <w:tmpl w:val="02B06F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A7644A5"/>
    <w:multiLevelType w:val="hybridMultilevel"/>
    <w:tmpl w:val="235842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FCC066F"/>
    <w:multiLevelType w:val="hybridMultilevel"/>
    <w:tmpl w:val="9D543B3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16240D"/>
    <w:multiLevelType w:val="hybridMultilevel"/>
    <w:tmpl w:val="3A6C9DB6"/>
    <w:lvl w:ilvl="0" w:tplc="257EB9F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1930E0"/>
    <w:multiLevelType w:val="hybridMultilevel"/>
    <w:tmpl w:val="8F1493A8"/>
    <w:lvl w:ilvl="0" w:tplc="0C9E4AE4">
      <w:numFmt w:val="bullet"/>
      <w:lvlText w:val="•"/>
      <w:lvlJc w:val="left"/>
      <w:pPr>
        <w:ind w:left="1080" w:hanging="72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B141C2"/>
    <w:multiLevelType w:val="hybridMultilevel"/>
    <w:tmpl w:val="6D0846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57703C"/>
    <w:multiLevelType w:val="hybridMultilevel"/>
    <w:tmpl w:val="2C38C6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8702F8"/>
    <w:multiLevelType w:val="hybridMultilevel"/>
    <w:tmpl w:val="5060000E"/>
    <w:lvl w:ilvl="0" w:tplc="4866F220">
      <w:start w:val="1"/>
      <w:numFmt w:val="lowerRoman"/>
      <w:lvlText w:val="(%1)"/>
      <w:lvlJc w:val="left"/>
      <w:pPr>
        <w:ind w:left="1004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41965554"/>
    <w:multiLevelType w:val="hybridMultilevel"/>
    <w:tmpl w:val="804A28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1C1942"/>
    <w:multiLevelType w:val="hybridMultilevel"/>
    <w:tmpl w:val="7A26771E"/>
    <w:lvl w:ilvl="0" w:tplc="E85A51A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5354F15"/>
    <w:multiLevelType w:val="multilevel"/>
    <w:tmpl w:val="C4D2489A"/>
    <w:lvl w:ilvl="0">
      <w:start w:val="1"/>
      <w:numFmt w:val="decimal"/>
      <w:pStyle w:val="Heading1111"/>
      <w:lvlText w:val="%1."/>
      <w:lvlJc w:val="left"/>
      <w:pPr>
        <w:tabs>
          <w:tab w:val="num" w:pos="709"/>
        </w:tabs>
        <w:ind w:left="709" w:hanging="567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993"/>
        </w:tabs>
        <w:ind w:left="993" w:hanging="851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5482FB7"/>
    <w:multiLevelType w:val="hybridMultilevel"/>
    <w:tmpl w:val="93CEDD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490AED"/>
    <w:multiLevelType w:val="hybridMultilevel"/>
    <w:tmpl w:val="0910FA42"/>
    <w:lvl w:ilvl="0" w:tplc="40F4599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9A30C8"/>
    <w:multiLevelType w:val="hybridMultilevel"/>
    <w:tmpl w:val="634CD0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52662C"/>
    <w:multiLevelType w:val="hybridMultilevel"/>
    <w:tmpl w:val="1598BD94"/>
    <w:lvl w:ilvl="0" w:tplc="B24476A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1F10C6"/>
    <w:multiLevelType w:val="hybridMultilevel"/>
    <w:tmpl w:val="7B6EAE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715F27"/>
    <w:multiLevelType w:val="hybridMultilevel"/>
    <w:tmpl w:val="A86CB3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C743EC2"/>
    <w:multiLevelType w:val="hybridMultilevel"/>
    <w:tmpl w:val="3460A4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854642"/>
    <w:multiLevelType w:val="hybridMultilevel"/>
    <w:tmpl w:val="27BA8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F46A09"/>
    <w:multiLevelType w:val="hybridMultilevel"/>
    <w:tmpl w:val="D3A292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2571D4"/>
    <w:multiLevelType w:val="hybridMultilevel"/>
    <w:tmpl w:val="6388E0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EB4D27"/>
    <w:multiLevelType w:val="hybridMultilevel"/>
    <w:tmpl w:val="2DA22278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 w15:restartNumberingAfterBreak="0">
    <w:nsid w:val="57AF1481"/>
    <w:multiLevelType w:val="hybridMultilevel"/>
    <w:tmpl w:val="7E5C2D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1B76C0"/>
    <w:multiLevelType w:val="hybridMultilevel"/>
    <w:tmpl w:val="E97CC8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2D3AD6"/>
    <w:multiLevelType w:val="hybridMultilevel"/>
    <w:tmpl w:val="7AFC80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702B33"/>
    <w:multiLevelType w:val="hybridMultilevel"/>
    <w:tmpl w:val="F9E0A2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0068FF"/>
    <w:multiLevelType w:val="hybridMultilevel"/>
    <w:tmpl w:val="36C21E60"/>
    <w:lvl w:ilvl="0" w:tplc="15D4AA6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923D45"/>
    <w:multiLevelType w:val="hybridMultilevel"/>
    <w:tmpl w:val="42CAA0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1C1723"/>
    <w:multiLevelType w:val="hybridMultilevel"/>
    <w:tmpl w:val="804A28F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42475B"/>
    <w:multiLevelType w:val="hybridMultilevel"/>
    <w:tmpl w:val="741015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9F1CBB"/>
    <w:multiLevelType w:val="hybridMultilevel"/>
    <w:tmpl w:val="C71E41C4"/>
    <w:lvl w:ilvl="0" w:tplc="BF4C6D3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CD7452"/>
    <w:multiLevelType w:val="hybridMultilevel"/>
    <w:tmpl w:val="98046F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85627D"/>
    <w:multiLevelType w:val="hybridMultilevel"/>
    <w:tmpl w:val="283609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083401"/>
    <w:multiLevelType w:val="hybridMultilevel"/>
    <w:tmpl w:val="2F9852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4033244">
    <w:abstractNumId w:val="10"/>
  </w:num>
  <w:num w:numId="2" w16cid:durableId="564101114">
    <w:abstractNumId w:val="33"/>
  </w:num>
  <w:num w:numId="3" w16cid:durableId="846332335">
    <w:abstractNumId w:val="21"/>
  </w:num>
  <w:num w:numId="4" w16cid:durableId="130178000">
    <w:abstractNumId w:val="14"/>
  </w:num>
  <w:num w:numId="5" w16cid:durableId="1062673902">
    <w:abstractNumId w:val="37"/>
  </w:num>
  <w:num w:numId="6" w16cid:durableId="1415977892">
    <w:abstractNumId w:val="16"/>
  </w:num>
  <w:num w:numId="7" w16cid:durableId="90375534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2891287">
    <w:abstractNumId w:val="28"/>
  </w:num>
  <w:num w:numId="9" w16cid:durableId="1916626580">
    <w:abstractNumId w:val="18"/>
  </w:num>
  <w:num w:numId="10" w16cid:durableId="102111068">
    <w:abstractNumId w:val="12"/>
  </w:num>
  <w:num w:numId="11" w16cid:durableId="784541439">
    <w:abstractNumId w:val="12"/>
  </w:num>
  <w:num w:numId="12" w16cid:durableId="498274257">
    <w:abstractNumId w:val="28"/>
  </w:num>
  <w:num w:numId="13" w16cid:durableId="436219169">
    <w:abstractNumId w:val="25"/>
  </w:num>
  <w:num w:numId="14" w16cid:durableId="2061325875">
    <w:abstractNumId w:val="20"/>
  </w:num>
  <w:num w:numId="15" w16cid:durableId="83577549">
    <w:abstractNumId w:val="13"/>
  </w:num>
  <w:num w:numId="16" w16cid:durableId="1725136788">
    <w:abstractNumId w:val="26"/>
  </w:num>
  <w:num w:numId="17" w16cid:durableId="1108820034">
    <w:abstractNumId w:val="6"/>
  </w:num>
  <w:num w:numId="18" w16cid:durableId="884217037">
    <w:abstractNumId w:val="30"/>
  </w:num>
  <w:num w:numId="19" w16cid:durableId="111749301">
    <w:abstractNumId w:val="39"/>
  </w:num>
  <w:num w:numId="20" w16cid:durableId="1789859175">
    <w:abstractNumId w:val="27"/>
  </w:num>
  <w:num w:numId="21" w16cid:durableId="1889412670">
    <w:abstractNumId w:val="24"/>
  </w:num>
  <w:num w:numId="22" w16cid:durableId="616717614">
    <w:abstractNumId w:val="3"/>
  </w:num>
  <w:num w:numId="23" w16cid:durableId="227766725">
    <w:abstractNumId w:val="5"/>
  </w:num>
  <w:num w:numId="24" w16cid:durableId="1505708487">
    <w:abstractNumId w:val="38"/>
  </w:num>
  <w:num w:numId="25" w16cid:durableId="644746506">
    <w:abstractNumId w:val="34"/>
  </w:num>
  <w:num w:numId="26" w16cid:durableId="2086603745">
    <w:abstractNumId w:val="31"/>
  </w:num>
  <w:num w:numId="27" w16cid:durableId="2131580900">
    <w:abstractNumId w:val="32"/>
  </w:num>
  <w:num w:numId="28" w16cid:durableId="2123331139">
    <w:abstractNumId w:val="1"/>
  </w:num>
  <w:num w:numId="29" w16cid:durableId="2085226078">
    <w:abstractNumId w:val="2"/>
  </w:num>
  <w:num w:numId="30" w16cid:durableId="501238590">
    <w:abstractNumId w:val="4"/>
  </w:num>
  <w:num w:numId="31" w16cid:durableId="903762741">
    <w:abstractNumId w:val="23"/>
  </w:num>
  <w:num w:numId="32" w16cid:durableId="1528370561">
    <w:abstractNumId w:val="8"/>
  </w:num>
  <w:num w:numId="33" w16cid:durableId="969364915">
    <w:abstractNumId w:val="36"/>
  </w:num>
  <w:num w:numId="34" w16cid:durableId="359279031">
    <w:abstractNumId w:val="7"/>
  </w:num>
  <w:num w:numId="35" w16cid:durableId="1930892204">
    <w:abstractNumId w:val="29"/>
  </w:num>
  <w:num w:numId="36" w16cid:durableId="1359350393">
    <w:abstractNumId w:val="11"/>
  </w:num>
  <w:num w:numId="37" w16cid:durableId="1256282504">
    <w:abstractNumId w:val="0"/>
  </w:num>
  <w:num w:numId="38" w16cid:durableId="1884511513">
    <w:abstractNumId w:val="15"/>
  </w:num>
  <w:num w:numId="39" w16cid:durableId="1148472834">
    <w:abstractNumId w:val="35"/>
  </w:num>
  <w:num w:numId="40" w16cid:durableId="2111703091">
    <w:abstractNumId w:val="9"/>
  </w:num>
  <w:num w:numId="41" w16cid:durableId="1715999408">
    <w:abstractNumId w:val="19"/>
  </w:num>
  <w:num w:numId="42" w16cid:durableId="277566334">
    <w:abstractNumId w:val="22"/>
  </w:num>
  <w:num w:numId="43" w16cid:durableId="1288048314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F31"/>
    <w:rsid w:val="00004143"/>
    <w:rsid w:val="000129FC"/>
    <w:rsid w:val="000139F8"/>
    <w:rsid w:val="00061932"/>
    <w:rsid w:val="00064BD5"/>
    <w:rsid w:val="000846DE"/>
    <w:rsid w:val="00087C83"/>
    <w:rsid w:val="0009072B"/>
    <w:rsid w:val="000A11F9"/>
    <w:rsid w:val="000A68C5"/>
    <w:rsid w:val="000A7F9B"/>
    <w:rsid w:val="000B12C3"/>
    <w:rsid w:val="000B65ED"/>
    <w:rsid w:val="000E6A43"/>
    <w:rsid w:val="000E7E9A"/>
    <w:rsid w:val="000F4388"/>
    <w:rsid w:val="000F6C63"/>
    <w:rsid w:val="00112076"/>
    <w:rsid w:val="0012353D"/>
    <w:rsid w:val="00125FBF"/>
    <w:rsid w:val="0016042F"/>
    <w:rsid w:val="00184C0C"/>
    <w:rsid w:val="00191A6A"/>
    <w:rsid w:val="00194A2B"/>
    <w:rsid w:val="001A5A37"/>
    <w:rsid w:val="001A7D29"/>
    <w:rsid w:val="001B1706"/>
    <w:rsid w:val="001B4EF1"/>
    <w:rsid w:val="001F2550"/>
    <w:rsid w:val="001F4719"/>
    <w:rsid w:val="002061B8"/>
    <w:rsid w:val="0021147D"/>
    <w:rsid w:val="00222CD6"/>
    <w:rsid w:val="00236A3D"/>
    <w:rsid w:val="00246A00"/>
    <w:rsid w:val="0025036C"/>
    <w:rsid w:val="00256C66"/>
    <w:rsid w:val="00257C87"/>
    <w:rsid w:val="00270B2B"/>
    <w:rsid w:val="002737F7"/>
    <w:rsid w:val="002A2957"/>
    <w:rsid w:val="002A46D2"/>
    <w:rsid w:val="002B0C09"/>
    <w:rsid w:val="002F4A29"/>
    <w:rsid w:val="00304AD4"/>
    <w:rsid w:val="00304EBA"/>
    <w:rsid w:val="0030531D"/>
    <w:rsid w:val="00315153"/>
    <w:rsid w:val="00317704"/>
    <w:rsid w:val="003229AD"/>
    <w:rsid w:val="003400C5"/>
    <w:rsid w:val="00374A42"/>
    <w:rsid w:val="00393992"/>
    <w:rsid w:val="003C2933"/>
    <w:rsid w:val="003C3ADA"/>
    <w:rsid w:val="003C6C34"/>
    <w:rsid w:val="003D20F6"/>
    <w:rsid w:val="003D496A"/>
    <w:rsid w:val="003D5C24"/>
    <w:rsid w:val="004002DE"/>
    <w:rsid w:val="00402D59"/>
    <w:rsid w:val="00411FFA"/>
    <w:rsid w:val="00416228"/>
    <w:rsid w:val="00417546"/>
    <w:rsid w:val="004252A5"/>
    <w:rsid w:val="00427684"/>
    <w:rsid w:val="00434A66"/>
    <w:rsid w:val="004550DE"/>
    <w:rsid w:val="004558CD"/>
    <w:rsid w:val="00461B55"/>
    <w:rsid w:val="00462A57"/>
    <w:rsid w:val="00462FA2"/>
    <w:rsid w:val="004631B1"/>
    <w:rsid w:val="00463C07"/>
    <w:rsid w:val="00486DE2"/>
    <w:rsid w:val="00496E9B"/>
    <w:rsid w:val="004A3151"/>
    <w:rsid w:val="004B6A67"/>
    <w:rsid w:val="004C22BE"/>
    <w:rsid w:val="004C7DEB"/>
    <w:rsid w:val="004E6990"/>
    <w:rsid w:val="004F2121"/>
    <w:rsid w:val="004F58B8"/>
    <w:rsid w:val="004F7AD4"/>
    <w:rsid w:val="005070EE"/>
    <w:rsid w:val="00514CAE"/>
    <w:rsid w:val="0051510A"/>
    <w:rsid w:val="005359B9"/>
    <w:rsid w:val="005509AA"/>
    <w:rsid w:val="00552F03"/>
    <w:rsid w:val="0055393D"/>
    <w:rsid w:val="005549C4"/>
    <w:rsid w:val="00577270"/>
    <w:rsid w:val="0057748C"/>
    <w:rsid w:val="00587CB8"/>
    <w:rsid w:val="005A4BCE"/>
    <w:rsid w:val="005A7CD6"/>
    <w:rsid w:val="005B14B9"/>
    <w:rsid w:val="005B2975"/>
    <w:rsid w:val="005B3344"/>
    <w:rsid w:val="005B48A5"/>
    <w:rsid w:val="005B6B18"/>
    <w:rsid w:val="005C46E9"/>
    <w:rsid w:val="005C63BF"/>
    <w:rsid w:val="005C7E60"/>
    <w:rsid w:val="005D46CE"/>
    <w:rsid w:val="005D5D27"/>
    <w:rsid w:val="005E2233"/>
    <w:rsid w:val="005E6E50"/>
    <w:rsid w:val="005F7B52"/>
    <w:rsid w:val="00614FCF"/>
    <w:rsid w:val="00615273"/>
    <w:rsid w:val="00620F1D"/>
    <w:rsid w:val="0062383F"/>
    <w:rsid w:val="0062651F"/>
    <w:rsid w:val="0063380B"/>
    <w:rsid w:val="00653319"/>
    <w:rsid w:val="00656423"/>
    <w:rsid w:val="006618E9"/>
    <w:rsid w:val="00667F40"/>
    <w:rsid w:val="00674545"/>
    <w:rsid w:val="0068292B"/>
    <w:rsid w:val="006A0F46"/>
    <w:rsid w:val="006B5EF9"/>
    <w:rsid w:val="006B6D57"/>
    <w:rsid w:val="006C1A52"/>
    <w:rsid w:val="006E0DF2"/>
    <w:rsid w:val="006F22BC"/>
    <w:rsid w:val="006F4CAD"/>
    <w:rsid w:val="00702E05"/>
    <w:rsid w:val="00711A49"/>
    <w:rsid w:val="007155F3"/>
    <w:rsid w:val="00720EF0"/>
    <w:rsid w:val="00731316"/>
    <w:rsid w:val="00731A0E"/>
    <w:rsid w:val="00746133"/>
    <w:rsid w:val="00755EB9"/>
    <w:rsid w:val="007937B6"/>
    <w:rsid w:val="00797C3B"/>
    <w:rsid w:val="007A5A44"/>
    <w:rsid w:val="007B3613"/>
    <w:rsid w:val="007C01F0"/>
    <w:rsid w:val="007D4877"/>
    <w:rsid w:val="007D589E"/>
    <w:rsid w:val="007F50C9"/>
    <w:rsid w:val="00800E88"/>
    <w:rsid w:val="00815AC3"/>
    <w:rsid w:val="00817590"/>
    <w:rsid w:val="00823F31"/>
    <w:rsid w:val="00854097"/>
    <w:rsid w:val="00860781"/>
    <w:rsid w:val="00860F21"/>
    <w:rsid w:val="00866BC0"/>
    <w:rsid w:val="0087458E"/>
    <w:rsid w:val="00881D20"/>
    <w:rsid w:val="00893030"/>
    <w:rsid w:val="00894BEE"/>
    <w:rsid w:val="008A2F35"/>
    <w:rsid w:val="008A4B92"/>
    <w:rsid w:val="008C2845"/>
    <w:rsid w:val="008D0DF2"/>
    <w:rsid w:val="008D3956"/>
    <w:rsid w:val="008D7A22"/>
    <w:rsid w:val="008F071F"/>
    <w:rsid w:val="008F40B9"/>
    <w:rsid w:val="0090233B"/>
    <w:rsid w:val="00903975"/>
    <w:rsid w:val="0090730D"/>
    <w:rsid w:val="00912273"/>
    <w:rsid w:val="0092237D"/>
    <w:rsid w:val="009245E8"/>
    <w:rsid w:val="009278FA"/>
    <w:rsid w:val="00931999"/>
    <w:rsid w:val="009460AC"/>
    <w:rsid w:val="00953939"/>
    <w:rsid w:val="00965E2B"/>
    <w:rsid w:val="00967594"/>
    <w:rsid w:val="00967F77"/>
    <w:rsid w:val="009834B8"/>
    <w:rsid w:val="00990BE1"/>
    <w:rsid w:val="00991555"/>
    <w:rsid w:val="0099369F"/>
    <w:rsid w:val="009A0416"/>
    <w:rsid w:val="009A42F1"/>
    <w:rsid w:val="009B0DC8"/>
    <w:rsid w:val="009B67E4"/>
    <w:rsid w:val="009C38B5"/>
    <w:rsid w:val="009D0A75"/>
    <w:rsid w:val="009D5B73"/>
    <w:rsid w:val="009D62B4"/>
    <w:rsid w:val="009E2150"/>
    <w:rsid w:val="009F308F"/>
    <w:rsid w:val="009F56C6"/>
    <w:rsid w:val="009F6AA3"/>
    <w:rsid w:val="00A00918"/>
    <w:rsid w:val="00A10436"/>
    <w:rsid w:val="00A13D42"/>
    <w:rsid w:val="00A174AC"/>
    <w:rsid w:val="00A22D61"/>
    <w:rsid w:val="00A42DF8"/>
    <w:rsid w:val="00A4327C"/>
    <w:rsid w:val="00A62EFA"/>
    <w:rsid w:val="00A65963"/>
    <w:rsid w:val="00A670A0"/>
    <w:rsid w:val="00A77A84"/>
    <w:rsid w:val="00A824D2"/>
    <w:rsid w:val="00A825A8"/>
    <w:rsid w:val="00AB72D2"/>
    <w:rsid w:val="00AC469B"/>
    <w:rsid w:val="00AD2C70"/>
    <w:rsid w:val="00AD3D52"/>
    <w:rsid w:val="00AE11AE"/>
    <w:rsid w:val="00AF6643"/>
    <w:rsid w:val="00B10098"/>
    <w:rsid w:val="00B14242"/>
    <w:rsid w:val="00B1760B"/>
    <w:rsid w:val="00B33743"/>
    <w:rsid w:val="00B432C7"/>
    <w:rsid w:val="00B444F7"/>
    <w:rsid w:val="00B5468B"/>
    <w:rsid w:val="00B6153E"/>
    <w:rsid w:val="00B649B0"/>
    <w:rsid w:val="00B65DDB"/>
    <w:rsid w:val="00B75B21"/>
    <w:rsid w:val="00B85733"/>
    <w:rsid w:val="00B93DA7"/>
    <w:rsid w:val="00B965D8"/>
    <w:rsid w:val="00BA4797"/>
    <w:rsid w:val="00BB14F5"/>
    <w:rsid w:val="00BB355D"/>
    <w:rsid w:val="00BC55BF"/>
    <w:rsid w:val="00BC7A38"/>
    <w:rsid w:val="00BD62C0"/>
    <w:rsid w:val="00BD75F8"/>
    <w:rsid w:val="00BE5E98"/>
    <w:rsid w:val="00BF133A"/>
    <w:rsid w:val="00BF6D64"/>
    <w:rsid w:val="00BF7EE1"/>
    <w:rsid w:val="00C12CC8"/>
    <w:rsid w:val="00C40974"/>
    <w:rsid w:val="00C410C5"/>
    <w:rsid w:val="00C469EE"/>
    <w:rsid w:val="00C562D6"/>
    <w:rsid w:val="00C64E4D"/>
    <w:rsid w:val="00C901E8"/>
    <w:rsid w:val="00CA08F5"/>
    <w:rsid w:val="00CA44ED"/>
    <w:rsid w:val="00CB2546"/>
    <w:rsid w:val="00CB2B57"/>
    <w:rsid w:val="00CB4248"/>
    <w:rsid w:val="00CD519B"/>
    <w:rsid w:val="00CF2285"/>
    <w:rsid w:val="00D067BE"/>
    <w:rsid w:val="00D07AD4"/>
    <w:rsid w:val="00D10937"/>
    <w:rsid w:val="00D1144E"/>
    <w:rsid w:val="00D203F9"/>
    <w:rsid w:val="00D21952"/>
    <w:rsid w:val="00D21EF1"/>
    <w:rsid w:val="00D27C5B"/>
    <w:rsid w:val="00D3276F"/>
    <w:rsid w:val="00D33851"/>
    <w:rsid w:val="00D42C36"/>
    <w:rsid w:val="00D47E01"/>
    <w:rsid w:val="00D76FCD"/>
    <w:rsid w:val="00D80898"/>
    <w:rsid w:val="00D91E8F"/>
    <w:rsid w:val="00D92B17"/>
    <w:rsid w:val="00D940A8"/>
    <w:rsid w:val="00D95157"/>
    <w:rsid w:val="00DA3790"/>
    <w:rsid w:val="00DB6171"/>
    <w:rsid w:val="00DB7FF9"/>
    <w:rsid w:val="00DD2E58"/>
    <w:rsid w:val="00DD43C6"/>
    <w:rsid w:val="00DE71FB"/>
    <w:rsid w:val="00E02D40"/>
    <w:rsid w:val="00E07EBB"/>
    <w:rsid w:val="00E117A0"/>
    <w:rsid w:val="00E17210"/>
    <w:rsid w:val="00E23847"/>
    <w:rsid w:val="00E279D3"/>
    <w:rsid w:val="00E558E7"/>
    <w:rsid w:val="00E82E24"/>
    <w:rsid w:val="00E8349F"/>
    <w:rsid w:val="00EB7A50"/>
    <w:rsid w:val="00EF64B7"/>
    <w:rsid w:val="00F066D3"/>
    <w:rsid w:val="00F12CD4"/>
    <w:rsid w:val="00F218BC"/>
    <w:rsid w:val="00F2724C"/>
    <w:rsid w:val="00F30BF1"/>
    <w:rsid w:val="00F350E1"/>
    <w:rsid w:val="00F35B44"/>
    <w:rsid w:val="00F3726C"/>
    <w:rsid w:val="00F402D3"/>
    <w:rsid w:val="00F40799"/>
    <w:rsid w:val="00F61081"/>
    <w:rsid w:val="00F6505F"/>
    <w:rsid w:val="00F763A3"/>
    <w:rsid w:val="00F87A0C"/>
    <w:rsid w:val="00FA3EAE"/>
    <w:rsid w:val="00FB5A3B"/>
    <w:rsid w:val="00FB7742"/>
    <w:rsid w:val="00FC50AA"/>
    <w:rsid w:val="00FD6B5E"/>
    <w:rsid w:val="00FE31EB"/>
    <w:rsid w:val="00FE4220"/>
    <w:rsid w:val="00FE4FD5"/>
    <w:rsid w:val="00FE6E77"/>
    <w:rsid w:val="00FF6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D9959D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2CD4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3F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9515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95157"/>
    <w:rPr>
      <w:rFonts w:ascii="Segoe UI" w:hAnsi="Segoe UI" w:cs="Segoe UI"/>
      <w:sz w:val="18"/>
      <w:szCs w:val="18"/>
      <w:lang w:val="en-US" w:eastAsia="en-US"/>
    </w:rPr>
  </w:style>
  <w:style w:type="paragraph" w:styleId="NoSpacing">
    <w:name w:val="No Spacing"/>
    <w:uiPriority w:val="1"/>
    <w:qFormat/>
    <w:rsid w:val="004B6A6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istParagraphChar">
    <w:name w:val="List Paragraph Char"/>
    <w:link w:val="ListParagraph"/>
    <w:uiPriority w:val="34"/>
    <w:locked/>
    <w:rsid w:val="004B6A67"/>
    <w:rPr>
      <w:rFonts w:eastAsia="Times New Roman"/>
      <w:sz w:val="24"/>
      <w:szCs w:val="24"/>
      <w:lang w:val="x-none" w:eastAsia="x-none"/>
    </w:rPr>
  </w:style>
  <w:style w:type="paragraph" w:styleId="ListParagraph">
    <w:name w:val="List Paragraph"/>
    <w:basedOn w:val="Normal"/>
    <w:link w:val="ListParagraphChar"/>
    <w:uiPriority w:val="34"/>
    <w:qFormat/>
    <w:rsid w:val="004B6A67"/>
    <w:pPr>
      <w:ind w:left="720"/>
    </w:pPr>
    <w:rPr>
      <w:rFonts w:eastAsia="Times New Roman"/>
      <w:lang w:val="x-none" w:eastAsia="x-none"/>
    </w:rPr>
  </w:style>
  <w:style w:type="character" w:customStyle="1" w:styleId="Heading1111Char">
    <w:name w:val="Heading 1111 Char"/>
    <w:link w:val="Heading1111"/>
    <w:locked/>
    <w:rsid w:val="004B6A67"/>
    <w:rPr>
      <w:rFonts w:ascii="Arial" w:eastAsia="Times New Roman" w:hAnsi="Arial"/>
      <w:b/>
      <w:spacing w:val="-3"/>
      <w:sz w:val="24"/>
      <w:szCs w:val="24"/>
      <w:lang w:val="x-none" w:eastAsia="x-none"/>
    </w:rPr>
  </w:style>
  <w:style w:type="paragraph" w:customStyle="1" w:styleId="Heading1111">
    <w:name w:val="Heading 1111"/>
    <w:basedOn w:val="ListParagraph"/>
    <w:link w:val="Heading1111Char"/>
    <w:qFormat/>
    <w:rsid w:val="004B6A67"/>
    <w:pPr>
      <w:numPr>
        <w:numId w:val="7"/>
      </w:numPr>
      <w:tabs>
        <w:tab w:val="left" w:pos="-1440"/>
        <w:tab w:val="left" w:pos="-720"/>
        <w:tab w:val="left" w:pos="0"/>
        <w:tab w:val="left" w:pos="1080"/>
        <w:tab w:val="left" w:pos="1440"/>
      </w:tabs>
      <w:suppressAutoHyphens/>
      <w:spacing w:before="60" w:after="60" w:line="276" w:lineRule="auto"/>
      <w:contextualSpacing/>
      <w:jc w:val="both"/>
    </w:pPr>
    <w:rPr>
      <w:rFonts w:ascii="Arial" w:hAnsi="Arial"/>
      <w:b/>
      <w:spacing w:val="-3"/>
    </w:rPr>
  </w:style>
  <w:style w:type="paragraph" w:styleId="NormalWeb">
    <w:name w:val="Normal (Web)"/>
    <w:basedOn w:val="Normal"/>
    <w:uiPriority w:val="99"/>
    <w:semiHidden/>
    <w:unhideWhenUsed/>
    <w:rsid w:val="008F071F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65642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6423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C410C5"/>
    <w:rPr>
      <w:rFonts w:ascii="Calibri" w:eastAsiaTheme="minorHAnsi" w:hAnsi="Calibri" w:cs="Calibri"/>
      <w:sz w:val="22"/>
      <w:szCs w:val="22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5E6E5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6E50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5E6E5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6E50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64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6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9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2A804CE645EF438330CAF3CC9F8D5D" ma:contentTypeVersion="12" ma:contentTypeDescription="Create a new document." ma:contentTypeScope="" ma:versionID="b60e6556250455b6bbd42c3eb6ce1e77">
  <xsd:schema xmlns:xsd="http://www.w3.org/2001/XMLSchema" xmlns:xs="http://www.w3.org/2001/XMLSchema" xmlns:p="http://schemas.microsoft.com/office/2006/metadata/properties" xmlns:ns2="ed6b8cae-f893-4c03-907f-5da4bd5954d6" xmlns:ns3="86e08327-b627-480e-a54f-8b9589f488ce" targetNamespace="http://schemas.microsoft.com/office/2006/metadata/properties" ma:root="true" ma:fieldsID="5ebc9080a16bc614b8e8d277560ab230" ns2:_="" ns3:_="">
    <xsd:import namespace="ed6b8cae-f893-4c03-907f-5da4bd5954d6"/>
    <xsd:import namespace="86e08327-b627-480e-a54f-8b9589f488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6b8cae-f893-4c03-907f-5da4bd5954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5e645311-b399-4a2c-aaa8-e5e4ba3929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e08327-b627-480e-a54f-8b9589f488ce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230aebf8-56bf-45cc-9a37-eb13294554e1}" ma:internalName="TaxCatchAll" ma:showField="CatchAllData" ma:web="86e08327-b627-480e-a54f-8b9589f488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d6b8cae-f893-4c03-907f-5da4bd5954d6">
      <Terms xmlns="http://schemas.microsoft.com/office/infopath/2007/PartnerControls"/>
    </lcf76f155ced4ddcb4097134ff3c332f>
    <TaxCatchAll xmlns="86e08327-b627-480e-a54f-8b9589f488ce" xsi:nil="true"/>
  </documentManagement>
</p:properties>
</file>

<file path=customXml/itemProps1.xml><?xml version="1.0" encoding="utf-8"?>
<ds:datastoreItem xmlns:ds="http://schemas.openxmlformats.org/officeDocument/2006/customXml" ds:itemID="{7F4FEADA-7CDC-482E-8F85-777C59A3154C}"/>
</file>

<file path=customXml/itemProps2.xml><?xml version="1.0" encoding="utf-8"?>
<ds:datastoreItem xmlns:ds="http://schemas.openxmlformats.org/officeDocument/2006/customXml" ds:itemID="{F4C7E483-BA1D-4007-90B3-F4D53BDE981A}"/>
</file>

<file path=customXml/itemProps3.xml><?xml version="1.0" encoding="utf-8"?>
<ds:datastoreItem xmlns:ds="http://schemas.openxmlformats.org/officeDocument/2006/customXml" ds:itemID="{EE802AB1-E5D9-41C7-9CEB-C8762A093C4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323</Words>
  <Characters>1816</Characters>
  <Application>Microsoft Office Word</Application>
  <DocSecurity>0</DocSecurity>
  <Lines>62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RichardW</dc:creator>
  <cp:keywords/>
  <dc:description/>
  <cp:lastModifiedBy>Paul</cp:lastModifiedBy>
  <cp:revision>8</cp:revision>
  <cp:lastPrinted>2024-06-20T14:01:00Z</cp:lastPrinted>
  <dcterms:created xsi:type="dcterms:W3CDTF">2024-12-01T18:55:00Z</dcterms:created>
  <dcterms:modified xsi:type="dcterms:W3CDTF">2024-12-02T17:59:00Z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c29c14247b614e68399b9f6b36f58b40157af875d499c078d1ec7022839327f0</vt:lpwstr>
  </property>
  <property fmtid="{D5CDD505-2E9C-101B-9397-08002B2CF9AE}" pid="3" name="ContentTypeId">
    <vt:lpwstr>0x010100322A804CE645EF438330CAF3CC9F8D5D</vt:lpwstr>
  </property>
</Properties>
</file>