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9EC77" w14:textId="77777777" w:rsidR="001A5D2C" w:rsidRDefault="001A5D2C" w:rsidP="00DD4687">
      <w:pPr>
        <w:pStyle w:val="Default"/>
        <w:rPr>
          <w:b/>
          <w:bCs/>
          <w:sz w:val="22"/>
          <w:szCs w:val="22"/>
        </w:rPr>
      </w:pPr>
    </w:p>
    <w:p w14:paraId="29C65191" w14:textId="77777777" w:rsidR="001A5D2C" w:rsidRDefault="001A5D2C" w:rsidP="00DD4687">
      <w:pPr>
        <w:pStyle w:val="Default"/>
        <w:rPr>
          <w:b/>
          <w:bCs/>
          <w:sz w:val="22"/>
          <w:szCs w:val="22"/>
        </w:rPr>
      </w:pPr>
    </w:p>
    <w:p w14:paraId="3DA99C72" w14:textId="77777777" w:rsidR="001A5D2C" w:rsidRDefault="001A5D2C" w:rsidP="00DD4687">
      <w:pPr>
        <w:pStyle w:val="Default"/>
        <w:rPr>
          <w:b/>
          <w:bCs/>
          <w:sz w:val="22"/>
          <w:szCs w:val="22"/>
        </w:rPr>
      </w:pPr>
    </w:p>
    <w:tbl>
      <w:tblPr>
        <w:tblW w:w="9345" w:type="dxa"/>
        <w:tblInd w:w="-40" w:type="dxa"/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4675"/>
        <w:gridCol w:w="4670"/>
      </w:tblGrid>
      <w:tr w:rsidR="001A5D2C" w14:paraId="19E99EE7" w14:textId="77777777" w:rsidTr="001A5D2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383463C" w14:textId="51DBB526" w:rsidR="001A5D2C" w:rsidRDefault="001A5D2C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Agenda Item: </w:t>
            </w:r>
            <w:r w:rsidR="00E64A3A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2A5705" w14:textId="77777777" w:rsidR="001A5D2C" w:rsidRDefault="001A5D2C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Council </w:t>
            </w:r>
          </w:p>
          <w:p w14:paraId="795931E1" w14:textId="77777777" w:rsidR="001A5D2C" w:rsidRDefault="001A5D2C">
            <w:pPr>
              <w:widowControl w:val="0"/>
              <w:rPr>
                <w:rFonts w:ascii="Arial" w:hAnsi="Arial" w:cs="Arial"/>
                <w:b/>
              </w:rPr>
            </w:pPr>
          </w:p>
          <w:p w14:paraId="6DDB877C" w14:textId="77777777" w:rsidR="001A5D2C" w:rsidRDefault="001A5D2C">
            <w:pPr>
              <w:widowControl w:val="0"/>
            </w:pPr>
            <w:r>
              <w:rPr>
                <w:rFonts w:ascii="Arial" w:hAnsi="Arial" w:cs="Arial"/>
                <w:b/>
              </w:rPr>
              <w:t xml:space="preserve">Date of Meeting: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April 2024</w:t>
            </w:r>
          </w:p>
        </w:tc>
      </w:tr>
    </w:tbl>
    <w:p w14:paraId="3281CB53" w14:textId="77777777" w:rsidR="001A5D2C" w:rsidRDefault="001A5D2C" w:rsidP="001A5D2C">
      <w:pPr>
        <w:rPr>
          <w:rFonts w:ascii="Arial" w:hAnsi="Arial" w:cs="Arial"/>
          <w:b/>
        </w:rPr>
      </w:pPr>
    </w:p>
    <w:tbl>
      <w:tblPr>
        <w:tblW w:w="9345" w:type="dxa"/>
        <w:tblInd w:w="-40" w:type="dxa"/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9345"/>
      </w:tblGrid>
      <w:tr w:rsidR="001A5D2C" w14:paraId="24982318" w14:textId="77777777" w:rsidTr="001A5D2C">
        <w:tc>
          <w:tcPr>
            <w:tcW w:w="9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8620CF7" w14:textId="77777777" w:rsidR="001A5D2C" w:rsidRDefault="001A5D2C">
            <w:pPr>
              <w:widowControl w:val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OAKHAM TOWN COUNCIL</w:t>
            </w:r>
          </w:p>
        </w:tc>
      </w:tr>
    </w:tbl>
    <w:p w14:paraId="7B870E81" w14:textId="77777777" w:rsidR="001A5D2C" w:rsidRDefault="001A5D2C" w:rsidP="001A5D2C">
      <w:pPr>
        <w:rPr>
          <w:rFonts w:ascii="Arial" w:hAnsi="Arial" w:cs="Arial"/>
          <w:b/>
        </w:rPr>
      </w:pPr>
    </w:p>
    <w:tbl>
      <w:tblPr>
        <w:tblW w:w="9345" w:type="dxa"/>
        <w:tblInd w:w="-40" w:type="dxa"/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4668"/>
        <w:gridCol w:w="4677"/>
      </w:tblGrid>
      <w:tr w:rsidR="001A5D2C" w14:paraId="0F7326D3" w14:textId="77777777" w:rsidTr="001A5D2C">
        <w:tc>
          <w:tcPr>
            <w:tcW w:w="4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7447350" w14:textId="77777777" w:rsidR="001A5D2C" w:rsidRDefault="001A5D2C">
            <w:pPr>
              <w:widowControl w:val="0"/>
            </w:pPr>
            <w:r>
              <w:rPr>
                <w:rFonts w:ascii="Arial" w:hAnsi="Arial" w:cs="Arial"/>
                <w:b/>
              </w:rPr>
              <w:t xml:space="preserve">Report Author: </w:t>
            </w:r>
          </w:p>
          <w:p w14:paraId="268B8A11" w14:textId="0534A4EA" w:rsidR="001A5D2C" w:rsidRDefault="001A5D2C">
            <w:pPr>
              <w:widowControl w:val="0"/>
            </w:pPr>
            <w:r>
              <w:rPr>
                <w:rFonts w:ascii="Arial" w:hAnsi="Arial" w:cs="Arial"/>
                <w:bCs/>
                <w:sz w:val="22"/>
                <w:szCs w:val="22"/>
              </w:rPr>
              <w:t>Cllr S-A Wadsworth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3C7B20" w14:textId="1903A64B" w:rsidR="001A5D2C" w:rsidRDefault="001A5D2C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Title: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Play area </w:t>
            </w:r>
          </w:p>
          <w:p w14:paraId="754C695E" w14:textId="77777777" w:rsidR="001A5D2C" w:rsidRDefault="001A5D2C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1A5D2C" w14:paraId="339246B1" w14:textId="77777777" w:rsidTr="001A5D2C">
        <w:tc>
          <w:tcPr>
            <w:tcW w:w="93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A520E0" w14:textId="3FD637B6" w:rsidR="001A5D2C" w:rsidRDefault="001A5D2C">
            <w:pPr>
              <w:widowControl w:val="0"/>
            </w:pPr>
            <w:r>
              <w:rPr>
                <w:rFonts w:ascii="Arial" w:hAnsi="Arial" w:cs="Arial"/>
                <w:b/>
              </w:rPr>
              <w:t xml:space="preserve">Subject: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Cutts Close Play Area refurbishment</w:t>
            </w:r>
          </w:p>
          <w:p w14:paraId="0CEB225F" w14:textId="77777777" w:rsidR="001A5D2C" w:rsidRDefault="001A5D2C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1A5D2C" w14:paraId="7619CB27" w14:textId="77777777" w:rsidTr="001A5D2C">
        <w:tc>
          <w:tcPr>
            <w:tcW w:w="93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DAEC647" w14:textId="77777777" w:rsidR="001A5D2C" w:rsidRDefault="001A5D2C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Applicable Strategy: Objectives &amp; Aims</w:t>
            </w:r>
          </w:p>
          <w:p w14:paraId="04F93A55" w14:textId="77777777" w:rsidR="001A5D2C" w:rsidRDefault="001A5D2C" w:rsidP="009F685B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color w:val="212529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val="en-GB" w:eastAsia="en-GB"/>
              </w:rPr>
              <w:t>To protect and enhance amenities in Oakham Town</w:t>
            </w:r>
          </w:p>
          <w:p w14:paraId="683F8C9E" w14:textId="77777777" w:rsidR="001A5D2C" w:rsidRDefault="001A5D2C" w:rsidP="009F685B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color w:val="212529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val="en-GB" w:eastAsia="en-GB"/>
              </w:rPr>
              <w:t>To improve the quality of life for residents and businesses in Oakham Town</w:t>
            </w:r>
          </w:p>
          <w:p w14:paraId="69027D03" w14:textId="77777777" w:rsidR="001A5D2C" w:rsidRDefault="001A5D2C" w:rsidP="009F685B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color w:val="212529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To work with residents to improve Community Resilience</w:t>
            </w:r>
          </w:p>
          <w:p w14:paraId="1F82C059" w14:textId="77777777" w:rsidR="001A5D2C" w:rsidRDefault="001A5D2C" w:rsidP="009F685B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color w:val="212529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val="en-GB" w:eastAsia="en-GB"/>
              </w:rPr>
              <w:t>To work effectively with the County Council and Councillors and other service providers.</w:t>
            </w:r>
          </w:p>
        </w:tc>
      </w:tr>
    </w:tbl>
    <w:p w14:paraId="3D7B4B8C" w14:textId="77777777" w:rsidR="001A5D2C" w:rsidRDefault="001A5D2C" w:rsidP="00DD4687">
      <w:pPr>
        <w:pStyle w:val="Default"/>
        <w:rPr>
          <w:b/>
          <w:bCs/>
          <w:sz w:val="22"/>
          <w:szCs w:val="22"/>
        </w:rPr>
      </w:pPr>
    </w:p>
    <w:p w14:paraId="271BAD58" w14:textId="6A46484E" w:rsidR="008005A2" w:rsidRPr="008005A2" w:rsidRDefault="001A5D2C" w:rsidP="008005A2">
      <w:pPr>
        <w:pStyle w:val="Default"/>
        <w:rPr>
          <w:sz w:val="22"/>
          <w:szCs w:val="22"/>
        </w:rPr>
      </w:pPr>
      <w:r w:rsidRPr="008005A2">
        <w:rPr>
          <w:sz w:val="22"/>
          <w:szCs w:val="22"/>
        </w:rPr>
        <w:t xml:space="preserve">The Cutts Close Pay Area </w:t>
      </w:r>
      <w:r w:rsidR="008005A2" w:rsidRPr="008005A2">
        <w:rPr>
          <w:sz w:val="22"/>
          <w:szCs w:val="22"/>
        </w:rPr>
        <w:t>needs</w:t>
      </w:r>
      <w:r w:rsidRPr="008005A2">
        <w:rPr>
          <w:sz w:val="22"/>
          <w:szCs w:val="22"/>
        </w:rPr>
        <w:t xml:space="preserve"> refurbishment, and normally the options </w:t>
      </w:r>
      <w:r w:rsidR="008005A2">
        <w:rPr>
          <w:sz w:val="22"/>
          <w:szCs w:val="22"/>
        </w:rPr>
        <w:t xml:space="preserve">listed </w:t>
      </w:r>
      <w:r w:rsidRPr="008005A2">
        <w:rPr>
          <w:sz w:val="22"/>
          <w:szCs w:val="22"/>
        </w:rPr>
        <w:t>below could be all considered</w:t>
      </w:r>
      <w:r w:rsidR="008005A2">
        <w:rPr>
          <w:sz w:val="22"/>
          <w:szCs w:val="22"/>
        </w:rPr>
        <w:t xml:space="preserve"> as quoted.</w:t>
      </w:r>
      <w:r w:rsidRPr="008005A2">
        <w:rPr>
          <w:sz w:val="22"/>
          <w:szCs w:val="22"/>
        </w:rPr>
        <w:t xml:space="preserve"> However as the Council is aware this is an area of Heritage Protection , which means that any disturbance below the </w:t>
      </w:r>
      <w:r w:rsidR="008005A2">
        <w:rPr>
          <w:sz w:val="22"/>
          <w:szCs w:val="22"/>
        </w:rPr>
        <w:t xml:space="preserve">existing </w:t>
      </w:r>
      <w:r w:rsidRPr="008005A2">
        <w:rPr>
          <w:sz w:val="22"/>
          <w:szCs w:val="22"/>
        </w:rPr>
        <w:t xml:space="preserve">surface would require English Heritage to be involved. </w:t>
      </w:r>
    </w:p>
    <w:p w14:paraId="39C0D21C" w14:textId="037FBE03" w:rsidR="001A5D2C" w:rsidRPr="008005A2" w:rsidRDefault="001A5D2C" w:rsidP="00DD4687">
      <w:pPr>
        <w:pStyle w:val="Default"/>
        <w:rPr>
          <w:sz w:val="22"/>
          <w:szCs w:val="22"/>
        </w:rPr>
      </w:pPr>
    </w:p>
    <w:p w14:paraId="0584C9FD" w14:textId="773C9A51" w:rsidR="001A5D2C" w:rsidRPr="008005A2" w:rsidRDefault="001A5D2C" w:rsidP="00DD4687">
      <w:pPr>
        <w:pStyle w:val="Default"/>
        <w:rPr>
          <w:sz w:val="22"/>
          <w:szCs w:val="22"/>
        </w:rPr>
      </w:pPr>
      <w:r w:rsidRPr="008005A2">
        <w:rPr>
          <w:sz w:val="22"/>
          <w:szCs w:val="22"/>
        </w:rPr>
        <w:t>The site of the Play Area was in the past a paddling pool which would suggest that below the existing play area the concrete infrastructure may well still exist.</w:t>
      </w:r>
    </w:p>
    <w:p w14:paraId="7EE20681" w14:textId="77777777" w:rsidR="001A5D2C" w:rsidRDefault="001A5D2C" w:rsidP="00DD4687">
      <w:pPr>
        <w:pStyle w:val="Default"/>
        <w:rPr>
          <w:b/>
          <w:bCs/>
          <w:sz w:val="22"/>
          <w:szCs w:val="22"/>
        </w:rPr>
      </w:pPr>
    </w:p>
    <w:p w14:paraId="351211BE" w14:textId="7277CFCC" w:rsidR="00DD4687" w:rsidRDefault="00DD4687" w:rsidP="00DD46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Town Clerk </w:t>
      </w:r>
      <w:r w:rsidR="001A5D2C">
        <w:rPr>
          <w:sz w:val="22"/>
          <w:szCs w:val="22"/>
        </w:rPr>
        <w:t xml:space="preserve">has </w:t>
      </w:r>
      <w:r w:rsidR="008005A2">
        <w:rPr>
          <w:sz w:val="22"/>
          <w:szCs w:val="22"/>
        </w:rPr>
        <w:t xml:space="preserve">in the past had </w:t>
      </w:r>
      <w:r w:rsidR="001A5D2C">
        <w:rPr>
          <w:sz w:val="22"/>
          <w:szCs w:val="22"/>
        </w:rPr>
        <w:t xml:space="preserve">multiple </w:t>
      </w:r>
      <w:r>
        <w:rPr>
          <w:sz w:val="22"/>
          <w:szCs w:val="22"/>
        </w:rPr>
        <w:t xml:space="preserve"> quotations for the replacement / upgrade of the play surface at Cutts Close play area</w:t>
      </w:r>
      <w:r w:rsidR="001A5D2C">
        <w:rPr>
          <w:sz w:val="22"/>
          <w:szCs w:val="22"/>
        </w:rPr>
        <w:t xml:space="preserve">, one of which is included. </w:t>
      </w:r>
      <w:r>
        <w:rPr>
          <w:sz w:val="22"/>
          <w:szCs w:val="22"/>
        </w:rPr>
        <w:t xml:space="preserve"> </w:t>
      </w:r>
      <w:r w:rsidR="001A5D2C">
        <w:rPr>
          <w:sz w:val="22"/>
          <w:szCs w:val="22"/>
        </w:rPr>
        <w:t>T</w:t>
      </w:r>
      <w:r>
        <w:rPr>
          <w:sz w:val="22"/>
          <w:szCs w:val="22"/>
        </w:rPr>
        <w:t xml:space="preserve">here are basically three ways to rectify the situation with prices varying from 15K to upwards of 40K. </w:t>
      </w:r>
    </w:p>
    <w:p w14:paraId="4A99148A" w14:textId="77777777" w:rsidR="001A5D2C" w:rsidRDefault="001A5D2C" w:rsidP="00DD4687">
      <w:pPr>
        <w:pStyle w:val="Default"/>
        <w:rPr>
          <w:sz w:val="22"/>
          <w:szCs w:val="22"/>
        </w:rPr>
      </w:pPr>
    </w:p>
    <w:p w14:paraId="113F888F" w14:textId="772A79EA" w:rsidR="00DD4687" w:rsidRDefault="00DD4687" w:rsidP="001A5D2C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simplest and cheapest method is simply to repair the existing surface </w:t>
      </w:r>
      <w:r w:rsidR="001A5D2C">
        <w:rPr>
          <w:sz w:val="22"/>
          <w:szCs w:val="22"/>
        </w:rPr>
        <w:t>however there is no guarantee as to the duration.</w:t>
      </w:r>
    </w:p>
    <w:p w14:paraId="44B1E1A6" w14:textId="77777777" w:rsidR="001A5D2C" w:rsidRDefault="001A5D2C" w:rsidP="001A5D2C">
      <w:pPr>
        <w:pStyle w:val="Default"/>
        <w:ind w:left="720"/>
        <w:rPr>
          <w:sz w:val="22"/>
          <w:szCs w:val="22"/>
        </w:rPr>
      </w:pPr>
    </w:p>
    <w:p w14:paraId="4D6683F4" w14:textId="29CB035D" w:rsidR="00DD4687" w:rsidRDefault="00DD4687" w:rsidP="001A5D2C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next cheapest method is to repair the existing surface and overlay a new surface. The advantage with this is the existing surface is used to ensure the fall height safety of 1.5m is covered and a new fresh look is achieved. </w:t>
      </w:r>
    </w:p>
    <w:p w14:paraId="6C4CDC20" w14:textId="77777777" w:rsidR="001A5D2C" w:rsidRDefault="001A5D2C" w:rsidP="001A5D2C">
      <w:pPr>
        <w:pStyle w:val="ListParagraph"/>
        <w:rPr>
          <w:sz w:val="22"/>
          <w:szCs w:val="22"/>
        </w:rPr>
      </w:pPr>
    </w:p>
    <w:p w14:paraId="71A388FB" w14:textId="5D8336AD" w:rsidR="001A5D2C" w:rsidRDefault="001A5D2C" w:rsidP="001A5D2C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most expensive option is to take up the existing surface , check the existing ground conditions and improve if required and then lay a course underlay followed by a finer surface. Obviously, there is also the issue of disposal of the existing underlay which could be expensive and have an environmental impact.</w:t>
      </w:r>
      <w:r w:rsidR="008005A2">
        <w:rPr>
          <w:sz w:val="22"/>
          <w:szCs w:val="22"/>
        </w:rPr>
        <w:t xml:space="preserve"> This would require English Heritage to be informed and a likely extra cost for supervision of the works.</w:t>
      </w:r>
    </w:p>
    <w:p w14:paraId="56D68308" w14:textId="77777777" w:rsidR="001A5D2C" w:rsidRDefault="001A5D2C" w:rsidP="001A5D2C">
      <w:pPr>
        <w:pStyle w:val="ListParagraph"/>
        <w:rPr>
          <w:sz w:val="22"/>
          <w:szCs w:val="22"/>
        </w:rPr>
      </w:pPr>
    </w:p>
    <w:p w14:paraId="0D2B728F" w14:textId="77777777" w:rsidR="001A5D2C" w:rsidRDefault="001A5D2C" w:rsidP="008005A2">
      <w:pPr>
        <w:pStyle w:val="Default"/>
        <w:ind w:left="720"/>
        <w:rPr>
          <w:sz w:val="22"/>
          <w:szCs w:val="22"/>
        </w:rPr>
      </w:pPr>
    </w:p>
    <w:p w14:paraId="45106796" w14:textId="01747718" w:rsidR="004F6262" w:rsidRDefault="001A5D2C" w:rsidP="00DD4687">
      <w:r>
        <w:t>It is therefore proposed that option 2 is approved and the Clerk obtains three quotes.</w:t>
      </w:r>
    </w:p>
    <w:p w14:paraId="416C9F2E" w14:textId="77777777" w:rsidR="001A5D2C" w:rsidRDefault="001A5D2C" w:rsidP="00DD4687"/>
    <w:sectPr w:rsidR="001A5D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F5294"/>
    <w:multiLevelType w:val="hybridMultilevel"/>
    <w:tmpl w:val="8B860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D280D"/>
    <w:multiLevelType w:val="multilevel"/>
    <w:tmpl w:val="6DC2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4241536">
    <w:abstractNumId w:val="1"/>
  </w:num>
  <w:num w:numId="2" w16cid:durableId="1549343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687"/>
    <w:rsid w:val="001A5D2C"/>
    <w:rsid w:val="00230B99"/>
    <w:rsid w:val="004F6262"/>
    <w:rsid w:val="008005A2"/>
    <w:rsid w:val="00DD4687"/>
    <w:rsid w:val="00E6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4C9F8"/>
  <w15:chartTrackingRefBased/>
  <w15:docId w15:val="{A6B9DBB3-B561-4D8F-BD17-219910FC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D2C"/>
    <w:pPr>
      <w:suppressAutoHyphens/>
      <w:spacing w:after="0" w:line="240" w:lineRule="auto"/>
    </w:pPr>
    <w:rPr>
      <w:rFonts w:ascii="Times New Roman" w:eastAsia="Calibri" w:hAnsi="Times New Roman" w:cs="Times New Roman"/>
      <w:color w:val="00000A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46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46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46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46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46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468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468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468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468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46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46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46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468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468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468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468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468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468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D468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46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46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D46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D468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D468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D468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D468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46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468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D4687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DD46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Evans</dc:creator>
  <cp:keywords/>
  <dc:description/>
  <cp:lastModifiedBy>Kathy Geraghty</cp:lastModifiedBy>
  <cp:revision>4</cp:revision>
  <cp:lastPrinted>2024-04-04T10:28:00Z</cp:lastPrinted>
  <dcterms:created xsi:type="dcterms:W3CDTF">2024-04-02T09:34:00Z</dcterms:created>
  <dcterms:modified xsi:type="dcterms:W3CDTF">2024-04-04T10:28:00Z</dcterms:modified>
</cp:coreProperties>
</file>